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510ACA" w:rsidRPr="00510ACA" w:rsidP="00510ACA" w14:paraId="7872E0A1" w14:textId="12B58F75">
      <w:pPr>
        <w:spacing w:line="240" w:lineRule="auto"/>
        <w:jc w:val="center"/>
        <w:outlineLvl w:val="9"/>
        <w:rPr>
          <w:rFonts w:eastAsia="Times New Roman"/>
          <w:sz w:val="28"/>
          <w:szCs w:val="28"/>
        </w:rPr>
      </w:pPr>
      <w:bookmarkStart w:id="0" w:name="OLE_LINK25"/>
      <w:r w:rsidRPr="00510ACA">
        <w:rPr>
          <w:rFonts w:eastAsia="Times New Roman"/>
          <w:sz w:val="28"/>
          <w:szCs w:val="28"/>
        </w:rPr>
        <w:t>_________________________________________________________________</w:t>
      </w:r>
      <w:r>
        <w:rPr>
          <w:rFonts w:eastAsia="Times New Roman"/>
          <w:sz w:val="28"/>
          <w:szCs w:val="28"/>
        </w:rPr>
        <w:t>_</w:t>
      </w:r>
    </w:p>
    <w:p w:rsidR="00510ACA" w:rsidRPr="00510ACA" w:rsidP="00510ACA" w14:paraId="6A20851C" w14:textId="77777777">
      <w:pPr>
        <w:spacing w:line="240" w:lineRule="auto"/>
        <w:jc w:val="center"/>
        <w:outlineLvl w:val="9"/>
        <w:rPr>
          <w:rFonts w:eastAsia="Times New Roman"/>
          <w:sz w:val="28"/>
          <w:szCs w:val="28"/>
        </w:rPr>
      </w:pPr>
      <w:r w:rsidRPr="00510ACA">
        <w:rPr>
          <w:rFonts w:eastAsia="Times New Roman"/>
          <w:sz w:val="28"/>
          <w:szCs w:val="28"/>
        </w:rPr>
        <w:t>__________________________________________________________________</w:t>
      </w:r>
    </w:p>
    <w:p w:rsidR="00510ACA" w:rsidRPr="00510ACA" w:rsidP="008A3C67" w14:paraId="0BAB6C24" w14:textId="77777777">
      <w:pPr>
        <w:keepNext/>
        <w:spacing w:before="120" w:line="240" w:lineRule="auto"/>
        <w:jc w:val="center"/>
        <w:outlineLvl w:val="9"/>
        <w:rPr>
          <w:rFonts w:eastAsia="Times New Roman"/>
          <w:b/>
          <w:kern w:val="28"/>
          <w:sz w:val="28"/>
          <w:szCs w:val="28"/>
        </w:rPr>
      </w:pPr>
      <w:r w:rsidRPr="00510ACA">
        <w:rPr>
          <w:rFonts w:eastAsia="Times New Roman"/>
          <w:b/>
          <w:kern w:val="28"/>
          <w:sz w:val="28"/>
          <w:szCs w:val="28"/>
        </w:rPr>
        <w:t>IN THE UNITED STATES COURT OF APPEALS</w:t>
      </w:r>
    </w:p>
    <w:p w:rsidR="00510ACA" w:rsidRPr="00510ACA" w:rsidP="00510ACA" w14:paraId="4A6056F4" w14:textId="602FF786">
      <w:pPr>
        <w:keepNext/>
        <w:spacing w:line="240" w:lineRule="auto"/>
        <w:jc w:val="center"/>
        <w:outlineLvl w:val="9"/>
        <w:rPr>
          <w:rFonts w:eastAsia="Times New Roman"/>
          <w:kern w:val="28"/>
          <w:sz w:val="28"/>
          <w:szCs w:val="28"/>
        </w:rPr>
      </w:pPr>
      <w:r w:rsidRPr="00510ACA">
        <w:rPr>
          <w:rFonts w:eastAsia="Times New Roman"/>
          <w:b/>
          <w:kern w:val="28"/>
          <w:sz w:val="28"/>
          <w:szCs w:val="28"/>
        </w:rPr>
        <w:t xml:space="preserve">FOR THE </w:t>
      </w:r>
      <w:r>
        <w:rPr>
          <w:rFonts w:eastAsia="Times New Roman"/>
          <w:b/>
          <w:kern w:val="28"/>
          <w:sz w:val="28"/>
          <w:szCs w:val="28"/>
        </w:rPr>
        <w:t>EIGHTH CI</w:t>
      </w:r>
      <w:r w:rsidRPr="00510ACA">
        <w:rPr>
          <w:rFonts w:eastAsia="Times New Roman"/>
          <w:b/>
          <w:kern w:val="28"/>
          <w:sz w:val="28"/>
          <w:szCs w:val="28"/>
        </w:rPr>
        <w:t>RCUIT</w:t>
      </w:r>
    </w:p>
    <w:p w:rsidR="00510ACA" w:rsidRPr="00510ACA" w:rsidP="00510ACA" w14:paraId="6CF4991E" w14:textId="77777777">
      <w:pPr>
        <w:spacing w:line="240" w:lineRule="auto"/>
        <w:jc w:val="center"/>
        <w:outlineLvl w:val="9"/>
        <w:rPr>
          <w:rFonts w:eastAsia="Times New Roman"/>
          <w:sz w:val="28"/>
          <w:szCs w:val="28"/>
        </w:rPr>
      </w:pPr>
      <w:r w:rsidRPr="00510ACA">
        <w:rPr>
          <w:rFonts w:eastAsia="Times New Roman"/>
          <w:sz w:val="28"/>
          <w:szCs w:val="28"/>
        </w:rPr>
        <w:t>_______________________</w:t>
      </w:r>
    </w:p>
    <w:p w:rsidR="00510ACA" w:rsidRPr="00510ACA" w:rsidP="00621CA2" w14:paraId="4EB1D8F0" w14:textId="1CF7A138">
      <w:pPr>
        <w:keepNext/>
        <w:spacing w:before="120" w:line="240" w:lineRule="auto"/>
        <w:jc w:val="center"/>
        <w:outlineLvl w:val="9"/>
        <w:rPr>
          <w:rFonts w:eastAsia="Times New Roman"/>
          <w:kern w:val="28"/>
          <w:sz w:val="28"/>
          <w:szCs w:val="28"/>
        </w:rPr>
      </w:pPr>
      <w:r w:rsidRPr="00510ACA">
        <w:rPr>
          <w:rFonts w:eastAsia="Times New Roman"/>
          <w:kern w:val="28"/>
          <w:sz w:val="28"/>
          <w:szCs w:val="28"/>
        </w:rPr>
        <w:t>Case No.</w:t>
      </w:r>
      <w:bookmarkStart w:id="1" w:name="OLE_LINK1"/>
      <w:bookmarkStart w:id="2" w:name="OLE_LINK2"/>
      <w:r w:rsidRPr="00510ACA">
        <w:rPr>
          <w:rFonts w:eastAsia="Times New Roman"/>
          <w:kern w:val="28"/>
          <w:sz w:val="28"/>
          <w:szCs w:val="28"/>
        </w:rPr>
        <w:t>: 23-</w:t>
      </w:r>
      <w:r>
        <w:rPr>
          <w:rFonts w:eastAsia="Times New Roman"/>
          <w:kern w:val="28"/>
          <w:sz w:val="28"/>
          <w:szCs w:val="28"/>
        </w:rPr>
        <w:t>3772</w:t>
      </w:r>
    </w:p>
    <w:bookmarkEnd w:id="1"/>
    <w:bookmarkEnd w:id="2"/>
    <w:p w:rsidR="00510ACA" w:rsidRPr="00510ACA" w:rsidP="002F3CE3" w14:paraId="78382B3B" w14:textId="26E86EDC">
      <w:pPr>
        <w:spacing w:after="240" w:line="240" w:lineRule="auto"/>
        <w:jc w:val="center"/>
        <w:outlineLvl w:val="9"/>
        <w:rPr>
          <w:rFonts w:eastAsia="Times New Roman"/>
          <w:sz w:val="28"/>
          <w:szCs w:val="28"/>
        </w:rPr>
      </w:pPr>
      <w:r w:rsidRPr="00510ACA">
        <w:rPr>
          <w:rFonts w:eastAsia="Times New Roman"/>
          <w:sz w:val="28"/>
          <w:szCs w:val="28"/>
        </w:rPr>
        <w:t>_______________________</w:t>
      </w:r>
    </w:p>
    <w:p w:rsidR="00510ACA" w:rsidRPr="00510ACA" w:rsidP="00621CA2" w14:paraId="1ED1B43E" w14:textId="41159AA4">
      <w:pPr>
        <w:widowControl w:val="0"/>
        <w:spacing w:after="120" w:line="240" w:lineRule="auto"/>
        <w:jc w:val="center"/>
        <w:outlineLvl w:val="9"/>
        <w:rPr>
          <w:rFonts w:eastAsia="Yu Gothic UI"/>
          <w:iCs/>
          <w:sz w:val="28"/>
          <w:szCs w:val="28"/>
        </w:rPr>
      </w:pPr>
      <w:r>
        <w:rPr>
          <w:rFonts w:eastAsia="Yu Gothic UI"/>
          <w:iCs/>
          <w:sz w:val="28"/>
          <w:szCs w:val="28"/>
        </w:rPr>
        <w:t>3M Company,</w:t>
      </w:r>
    </w:p>
    <w:p w:rsidR="00510ACA" w:rsidRPr="00510ACA" w:rsidP="00510ACA" w14:paraId="6DFC7567" w14:textId="20BC41C3">
      <w:pPr>
        <w:widowControl w:val="0"/>
        <w:spacing w:line="240" w:lineRule="auto"/>
        <w:jc w:val="center"/>
        <w:outlineLvl w:val="9"/>
        <w:rPr>
          <w:rFonts w:eastAsia="Times New Roman"/>
          <w:iCs/>
          <w:sz w:val="28"/>
          <w:szCs w:val="28"/>
        </w:rPr>
      </w:pPr>
      <w:r w:rsidRPr="00510ACA">
        <w:rPr>
          <w:rFonts w:eastAsia="Times New Roman"/>
          <w:iCs/>
          <w:sz w:val="28"/>
          <w:szCs w:val="28"/>
        </w:rPr>
        <w:t>Appellant,</w:t>
      </w:r>
    </w:p>
    <w:p w:rsidR="00510ACA" w:rsidRPr="00510ACA" w:rsidP="00510ACA" w14:paraId="0930EA2E" w14:textId="77777777">
      <w:pPr>
        <w:widowControl w:val="0"/>
        <w:spacing w:line="240" w:lineRule="auto"/>
        <w:jc w:val="center"/>
        <w:outlineLvl w:val="9"/>
        <w:rPr>
          <w:rFonts w:eastAsia="Times New Roman"/>
          <w:iCs/>
          <w:sz w:val="28"/>
          <w:szCs w:val="28"/>
        </w:rPr>
      </w:pPr>
    </w:p>
    <w:p w:rsidR="00510ACA" w:rsidRPr="00510ACA" w:rsidP="00510ACA" w14:paraId="3494A0A2" w14:textId="77777777">
      <w:pPr>
        <w:widowControl w:val="0"/>
        <w:spacing w:line="240" w:lineRule="auto"/>
        <w:jc w:val="center"/>
        <w:outlineLvl w:val="9"/>
        <w:rPr>
          <w:rFonts w:eastAsia="Times New Roman"/>
          <w:iCs/>
          <w:sz w:val="28"/>
          <w:szCs w:val="28"/>
        </w:rPr>
      </w:pPr>
      <w:r w:rsidRPr="00510ACA">
        <w:rPr>
          <w:rFonts w:eastAsia="Times New Roman"/>
          <w:iCs/>
          <w:sz w:val="28"/>
          <w:szCs w:val="28"/>
        </w:rPr>
        <w:t>v.</w:t>
      </w:r>
    </w:p>
    <w:p w:rsidR="00510ACA" w:rsidRPr="00510ACA" w:rsidP="00510ACA" w14:paraId="44E329FD" w14:textId="77777777">
      <w:pPr>
        <w:widowControl w:val="0"/>
        <w:spacing w:line="240" w:lineRule="auto"/>
        <w:jc w:val="center"/>
        <w:outlineLvl w:val="9"/>
        <w:rPr>
          <w:rFonts w:eastAsia="Times New Roman"/>
          <w:iCs/>
          <w:sz w:val="28"/>
          <w:szCs w:val="28"/>
        </w:rPr>
      </w:pPr>
    </w:p>
    <w:p w:rsidR="00510ACA" w:rsidRPr="00510ACA" w:rsidP="00621CA2" w14:paraId="59CE9F28" w14:textId="77777777">
      <w:pPr>
        <w:widowControl w:val="0"/>
        <w:spacing w:after="120" w:line="240" w:lineRule="auto"/>
        <w:jc w:val="center"/>
        <w:outlineLvl w:val="9"/>
        <w:rPr>
          <w:rFonts w:eastAsia="Yu Gothic UI"/>
          <w:iCs/>
          <w:sz w:val="28"/>
          <w:szCs w:val="28"/>
        </w:rPr>
      </w:pPr>
      <w:r w:rsidRPr="00510ACA">
        <w:rPr>
          <w:rFonts w:eastAsia="Yu Gothic UI"/>
          <w:iCs/>
          <w:sz w:val="28"/>
          <w:szCs w:val="28"/>
        </w:rPr>
        <w:t>Commissioner of Internal Revenue,</w:t>
      </w:r>
    </w:p>
    <w:p w:rsidR="00510ACA" w:rsidRPr="00510ACA" w:rsidP="002F3CE3" w14:paraId="7B246D65" w14:textId="589753C0">
      <w:pPr>
        <w:spacing w:line="240" w:lineRule="auto"/>
        <w:jc w:val="center"/>
        <w:outlineLvl w:val="9"/>
        <w:rPr>
          <w:rFonts w:eastAsia="Times New Roman"/>
          <w:sz w:val="28"/>
          <w:szCs w:val="28"/>
        </w:rPr>
      </w:pPr>
      <w:r w:rsidRPr="00510ACA">
        <w:rPr>
          <w:rFonts w:eastAsia="Times New Roman"/>
          <w:sz w:val="28"/>
          <w:szCs w:val="28"/>
        </w:rPr>
        <w:t>Appellee.</w:t>
      </w:r>
    </w:p>
    <w:p w:rsidR="00510ACA" w:rsidRPr="00510ACA" w:rsidP="00510ACA" w14:paraId="3F85A437" w14:textId="6C63E889">
      <w:pPr>
        <w:spacing w:line="240" w:lineRule="auto"/>
        <w:jc w:val="center"/>
        <w:outlineLvl w:val="9"/>
        <w:rPr>
          <w:rFonts w:eastAsia="Times New Roman"/>
          <w:sz w:val="28"/>
          <w:szCs w:val="28"/>
        </w:rPr>
      </w:pPr>
      <w:r w:rsidRPr="00510ACA">
        <w:rPr>
          <w:rFonts w:eastAsia="Times New Roman"/>
          <w:sz w:val="28"/>
          <w:szCs w:val="28"/>
        </w:rPr>
        <w:t>______________________________________________________________</w:t>
      </w:r>
      <w:r w:rsidR="002F3CE3">
        <w:rPr>
          <w:rFonts w:eastAsia="Times New Roman"/>
          <w:sz w:val="28"/>
          <w:szCs w:val="28"/>
        </w:rPr>
        <w:t>_</w:t>
      </w:r>
    </w:p>
    <w:p w:rsidR="00510ACA" w:rsidRPr="00510ACA" w:rsidP="00621CA2" w14:paraId="7B804F18" w14:textId="77777777">
      <w:pPr>
        <w:spacing w:before="120" w:line="240" w:lineRule="auto"/>
        <w:jc w:val="center"/>
        <w:outlineLvl w:val="9"/>
        <w:rPr>
          <w:rFonts w:eastAsia="Times New Roman"/>
          <w:sz w:val="28"/>
          <w:szCs w:val="28"/>
        </w:rPr>
      </w:pPr>
      <w:r w:rsidRPr="00510ACA">
        <w:rPr>
          <w:rFonts w:eastAsia="Times New Roman"/>
          <w:sz w:val="28"/>
          <w:szCs w:val="28"/>
        </w:rPr>
        <w:t>ON APPEAL FROM THE UNITED STATES TAX COURT</w:t>
      </w:r>
    </w:p>
    <w:p w:rsidR="00510ACA" w:rsidRPr="00510ACA" w:rsidP="00510ACA" w14:paraId="046738E5" w14:textId="158E4F80">
      <w:pPr>
        <w:spacing w:line="240" w:lineRule="auto"/>
        <w:jc w:val="center"/>
        <w:outlineLvl w:val="9"/>
        <w:rPr>
          <w:rFonts w:eastAsia="Times New Roman"/>
          <w:sz w:val="28"/>
          <w:szCs w:val="28"/>
        </w:rPr>
      </w:pPr>
      <w:r w:rsidRPr="00510ACA">
        <w:rPr>
          <w:rFonts w:eastAsia="Times New Roman"/>
          <w:sz w:val="28"/>
          <w:szCs w:val="28"/>
        </w:rPr>
        <w:t xml:space="preserve">No. </w:t>
      </w:r>
      <w:r w:rsidR="00CD14CC">
        <w:rPr>
          <w:rFonts w:eastAsia="Times New Roman"/>
          <w:sz w:val="28"/>
          <w:szCs w:val="28"/>
        </w:rPr>
        <w:t>5816-13</w:t>
      </w:r>
    </w:p>
    <w:p w:rsidR="00510ACA" w:rsidRPr="00510ACA" w:rsidP="00510ACA" w14:paraId="06FE4F55" w14:textId="77777777">
      <w:pPr>
        <w:spacing w:line="240" w:lineRule="auto"/>
        <w:jc w:val="center"/>
        <w:outlineLvl w:val="9"/>
        <w:rPr>
          <w:rFonts w:eastAsia="Times New Roman"/>
          <w:sz w:val="28"/>
          <w:szCs w:val="28"/>
        </w:rPr>
      </w:pPr>
      <w:r w:rsidRPr="00510ACA">
        <w:rPr>
          <w:rFonts w:eastAsia="Times New Roman"/>
          <w:sz w:val="28"/>
          <w:szCs w:val="28"/>
        </w:rPr>
        <w:t>__________________________________________________________________</w:t>
      </w:r>
    </w:p>
    <w:p w:rsidR="00510ACA" w:rsidRPr="00510ACA" w:rsidP="00510ACA" w14:paraId="653634D0" w14:textId="77777777">
      <w:pPr>
        <w:spacing w:line="240" w:lineRule="auto"/>
        <w:jc w:val="center"/>
        <w:outlineLvl w:val="9"/>
        <w:rPr>
          <w:rFonts w:eastAsia="Times New Roman"/>
          <w:b/>
          <w:sz w:val="28"/>
          <w:szCs w:val="28"/>
        </w:rPr>
      </w:pPr>
    </w:p>
    <w:p w:rsidR="00510ACA" w:rsidP="008A3C67" w14:paraId="4B6BDED9" w14:textId="7E6A7FFE">
      <w:pPr>
        <w:spacing w:after="120" w:line="240" w:lineRule="auto"/>
        <w:jc w:val="center"/>
        <w:outlineLvl w:val="9"/>
        <w:rPr>
          <w:rFonts w:eastAsia="Times New Roman"/>
          <w:b/>
          <w:sz w:val="28"/>
          <w:szCs w:val="28"/>
        </w:rPr>
      </w:pPr>
      <w:r>
        <w:rPr>
          <w:rFonts w:eastAsia="Times New Roman"/>
          <w:b/>
          <w:sz w:val="28"/>
          <w:szCs w:val="28"/>
        </w:rPr>
        <w:t xml:space="preserve">BRIEF OF </w:t>
      </w:r>
      <w:r w:rsidR="002F3CE3">
        <w:rPr>
          <w:rFonts w:eastAsia="Times New Roman"/>
          <w:b/>
          <w:sz w:val="28"/>
          <w:szCs w:val="28"/>
        </w:rPr>
        <w:t>NATIONAL FOREIGN TRADE COUNCIL</w:t>
      </w:r>
      <w:r w:rsidR="00F3715C">
        <w:rPr>
          <w:rFonts w:eastAsia="Times New Roman"/>
          <w:b/>
          <w:sz w:val="28"/>
          <w:szCs w:val="28"/>
        </w:rPr>
        <w:t>, INC.</w:t>
      </w:r>
      <w:r w:rsidR="002F3CE3">
        <w:rPr>
          <w:rFonts w:eastAsia="Times New Roman"/>
          <w:b/>
          <w:sz w:val="28"/>
          <w:szCs w:val="28"/>
        </w:rPr>
        <w:t xml:space="preserve"> AS </w:t>
      </w:r>
      <w:r w:rsidR="002F3CE3">
        <w:rPr>
          <w:rFonts w:eastAsia="Times New Roman"/>
          <w:b/>
          <w:i/>
          <w:iCs/>
          <w:sz w:val="28"/>
          <w:szCs w:val="28"/>
        </w:rPr>
        <w:t xml:space="preserve">AMICUS CURIAE </w:t>
      </w:r>
      <w:r w:rsidR="002F3CE3">
        <w:rPr>
          <w:rFonts w:eastAsia="Times New Roman"/>
          <w:b/>
          <w:sz w:val="28"/>
          <w:szCs w:val="28"/>
        </w:rPr>
        <w:t>IN SUPPORT OF APPELLANT</w:t>
      </w:r>
      <w:r w:rsidR="006413E9">
        <w:rPr>
          <w:rFonts w:eastAsia="Times New Roman"/>
          <w:b/>
          <w:sz w:val="28"/>
          <w:szCs w:val="28"/>
        </w:rPr>
        <w:t xml:space="preserve"> </w:t>
      </w:r>
    </w:p>
    <w:tbl>
      <w:tblPr>
        <w:tblStyle w:val="TableGrid"/>
        <w:tblW w:w="10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5395"/>
        <w:gridCol w:w="4675"/>
      </w:tblGrid>
      <w:tr w14:paraId="06CF9AC4" w14:textId="77777777" w:rsidTr="00621CA2">
        <w:tblPrEx>
          <w:tblW w:w="10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5395" w:type="dxa"/>
          </w:tcPr>
          <w:p w:rsidR="00171237" w:rsidP="00171237" w14:paraId="0E7F00C6"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Charles E. Borden</w:t>
            </w:r>
          </w:p>
          <w:p w:rsidR="00171237" w:rsidP="00171237" w14:paraId="394D774F" w14:textId="77777777">
            <w:pPr>
              <w:widowControl w:val="0"/>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Joshua D. Odintz</w:t>
            </w:r>
          </w:p>
          <w:p w:rsidR="00171237" w:rsidRPr="004A0824" w:rsidP="00171237" w14:paraId="6BE6E132"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sidRPr="004A0824">
              <w:rPr>
                <w:rFonts w:ascii="Times New Roman" w:eastAsia="Times New Roman" w:hAnsi="Times New Roman" w:cs="Times New Roman"/>
                <w:bCs/>
                <w:iCs/>
                <w:sz w:val="28"/>
                <w:szCs w:val="28"/>
                <w:lang w:val="en-US" w:eastAsia="en-US" w:bidi="ar-SA"/>
              </w:rPr>
              <w:t>Holland &amp; Knight LLP</w:t>
            </w:r>
          </w:p>
          <w:p w:rsidR="00171237" w:rsidP="00171237" w14:paraId="135A30A8"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800 17th Street N.W., Suite 1100</w:t>
            </w:r>
          </w:p>
          <w:p w:rsidR="00171237" w:rsidP="00171237" w14:paraId="06094951"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Washington, D.C. 20006</w:t>
            </w:r>
          </w:p>
          <w:p w:rsidR="00171237" w:rsidP="00171237" w14:paraId="2D4E6951"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Tel: (202) 469-5207</w:t>
            </w:r>
          </w:p>
          <w:p w:rsidR="00171237" w:rsidP="00171237" w14:paraId="094B0455" w14:textId="77777777">
            <w:pPr>
              <w:spacing w:after="0" w:line="240" w:lineRule="auto"/>
              <w:outlineLvl w:val="9"/>
              <w:rPr>
                <w:rFonts w:ascii="Times New Roman" w:eastAsia="Times New Roman" w:hAnsi="Times New Roman" w:cs="Times New Roman"/>
                <w:bCs/>
                <w:sz w:val="28"/>
                <w:szCs w:val="28"/>
                <w:lang w:val="en-US" w:eastAsia="en-US" w:bidi="ar-SA"/>
              </w:rPr>
            </w:pPr>
          </w:p>
          <w:p w:rsidR="00171237" w:rsidP="00171237" w14:paraId="121F9310" w14:textId="77777777">
            <w:pPr>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 xml:space="preserve">Anne Gordon </w:t>
            </w:r>
          </w:p>
          <w:p w:rsidR="00171237" w:rsidP="00171237" w14:paraId="7F1E77FF" w14:textId="77777777">
            <w:pPr>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National Trade Foreign Trade Council, Inc.</w:t>
            </w:r>
          </w:p>
          <w:p w:rsidR="00171237" w:rsidP="00171237" w14:paraId="306A138B" w14:textId="77777777">
            <w:pPr>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1225 New York Ave., NW</w:t>
            </w:r>
          </w:p>
          <w:p w:rsidR="00171237" w:rsidP="00171237" w14:paraId="3EA074E1" w14:textId="77777777">
            <w:pPr>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Suite 650B</w:t>
            </w:r>
          </w:p>
          <w:p w:rsidR="00171237" w:rsidP="00171237" w14:paraId="6BAA63F7" w14:textId="77777777">
            <w:pPr>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Washington, DC 20005</w:t>
            </w:r>
          </w:p>
          <w:p w:rsidR="00171237" w:rsidRPr="00171237" w:rsidP="00621CA2" w14:paraId="0E92CC8E" w14:textId="5B29793E">
            <w:pPr>
              <w:widowControl w:val="0"/>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Tel: (202) 887-0278</w:t>
            </w:r>
          </w:p>
        </w:tc>
        <w:tc>
          <w:tcPr>
            <w:tcW w:w="4675" w:type="dxa"/>
          </w:tcPr>
          <w:p w:rsidR="00171237" w:rsidRPr="00B3540D" w:rsidP="00171237" w14:paraId="1C6D7798"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sidRPr="00B3540D">
              <w:rPr>
                <w:rFonts w:ascii="Times New Roman" w:eastAsia="Times New Roman" w:hAnsi="Times New Roman" w:cs="Times New Roman"/>
                <w:bCs/>
                <w:iCs/>
                <w:sz w:val="28"/>
                <w:szCs w:val="28"/>
                <w:lang w:val="en-US" w:eastAsia="en-US" w:bidi="ar-SA"/>
              </w:rPr>
              <w:t>Amit Agarwal</w:t>
            </w:r>
          </w:p>
          <w:p w:rsidR="00171237" w:rsidRPr="00510ACA" w:rsidP="00171237" w14:paraId="2E91D517" w14:textId="77777777">
            <w:pPr>
              <w:widowControl w:val="0"/>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sz w:val="28"/>
                <w:szCs w:val="28"/>
                <w:lang w:val="en-US" w:eastAsia="en-US" w:bidi="ar-SA"/>
              </w:rPr>
              <w:t>Holland &amp; Knight LLP</w:t>
            </w:r>
          </w:p>
          <w:p w:rsidR="00171237" w:rsidRPr="00B3540D" w:rsidP="00171237" w14:paraId="2BA8A926" w14:textId="77777777">
            <w:pPr>
              <w:widowControl w:val="0"/>
              <w:spacing w:after="0" w:line="240" w:lineRule="auto"/>
              <w:outlineLvl w:val="9"/>
              <w:rPr>
                <w:rFonts w:ascii="Times New Roman" w:eastAsia="Times New Roman" w:hAnsi="Times New Roman" w:cs="Times New Roman"/>
                <w:bCs/>
                <w:sz w:val="28"/>
                <w:szCs w:val="28"/>
                <w:lang w:val="en-US" w:eastAsia="en-US" w:bidi="ar-SA"/>
              </w:rPr>
            </w:pPr>
            <w:r w:rsidRPr="00B3540D">
              <w:rPr>
                <w:rFonts w:ascii="Times New Roman" w:eastAsia="Times New Roman" w:hAnsi="Times New Roman" w:cs="Times New Roman"/>
                <w:bCs/>
                <w:sz w:val="28"/>
                <w:szCs w:val="28"/>
                <w:lang w:val="en-US" w:eastAsia="en-US" w:bidi="ar-SA"/>
              </w:rPr>
              <w:t>315 South Calhoun</w:t>
            </w:r>
            <w:r>
              <w:rPr>
                <w:rFonts w:ascii="Times New Roman" w:eastAsia="Times New Roman" w:hAnsi="Times New Roman" w:cs="Times New Roman"/>
                <w:bCs/>
                <w:sz w:val="28"/>
                <w:szCs w:val="28"/>
                <w:lang w:val="en-US" w:eastAsia="en-US" w:bidi="ar-SA"/>
              </w:rPr>
              <w:t xml:space="preserve"> S</w:t>
            </w:r>
            <w:r w:rsidRPr="00B3540D">
              <w:rPr>
                <w:rFonts w:ascii="Times New Roman" w:eastAsia="Times New Roman" w:hAnsi="Times New Roman" w:cs="Times New Roman"/>
                <w:bCs/>
                <w:sz w:val="28"/>
                <w:szCs w:val="28"/>
                <w:lang w:val="en-US" w:eastAsia="en-US" w:bidi="ar-SA"/>
              </w:rPr>
              <w:t>t,</w:t>
            </w:r>
            <w:r>
              <w:rPr>
                <w:rFonts w:ascii="Times New Roman" w:eastAsia="Times New Roman" w:hAnsi="Times New Roman" w:cs="Times New Roman"/>
                <w:bCs/>
                <w:sz w:val="28"/>
                <w:szCs w:val="28"/>
                <w:lang w:val="en-US" w:eastAsia="en-US" w:bidi="ar-SA"/>
              </w:rPr>
              <w:t xml:space="preserve"> </w:t>
            </w:r>
            <w:r w:rsidRPr="00B3540D">
              <w:rPr>
                <w:rFonts w:ascii="Times New Roman" w:eastAsia="Times New Roman" w:hAnsi="Times New Roman" w:cs="Times New Roman"/>
                <w:bCs/>
                <w:sz w:val="28"/>
                <w:szCs w:val="28"/>
                <w:lang w:val="en-US" w:eastAsia="en-US" w:bidi="ar-SA"/>
              </w:rPr>
              <w:t>Suite 600</w:t>
            </w:r>
          </w:p>
          <w:p w:rsidR="00171237" w:rsidRPr="00510ACA" w:rsidP="00171237" w14:paraId="006DEFD3" w14:textId="77777777">
            <w:pPr>
              <w:widowControl w:val="0"/>
              <w:spacing w:after="0" w:line="240" w:lineRule="auto"/>
              <w:outlineLvl w:val="9"/>
              <w:rPr>
                <w:rFonts w:ascii="Times New Roman" w:eastAsia="Times New Roman" w:hAnsi="Times New Roman" w:cs="Times New Roman"/>
                <w:bCs/>
                <w:sz w:val="28"/>
                <w:szCs w:val="28"/>
                <w:lang w:val="en-US" w:eastAsia="en-US" w:bidi="ar-SA"/>
              </w:rPr>
            </w:pPr>
            <w:r w:rsidRPr="00B3540D">
              <w:rPr>
                <w:rFonts w:ascii="Times New Roman" w:eastAsia="Times New Roman" w:hAnsi="Times New Roman" w:cs="Times New Roman"/>
                <w:bCs/>
                <w:sz w:val="28"/>
                <w:szCs w:val="28"/>
                <w:lang w:val="en-US" w:eastAsia="en-US" w:bidi="ar-SA"/>
              </w:rPr>
              <w:t>Tallahassee, F</w:t>
            </w:r>
            <w:r>
              <w:rPr>
                <w:rFonts w:ascii="Times New Roman" w:eastAsia="Times New Roman" w:hAnsi="Times New Roman" w:cs="Times New Roman"/>
                <w:bCs/>
                <w:sz w:val="28"/>
                <w:szCs w:val="28"/>
                <w:lang w:val="en-US" w:eastAsia="en-US" w:bidi="ar-SA"/>
              </w:rPr>
              <w:t xml:space="preserve">L </w:t>
            </w:r>
            <w:r w:rsidRPr="00B3540D">
              <w:rPr>
                <w:rFonts w:ascii="Times New Roman" w:eastAsia="Times New Roman" w:hAnsi="Times New Roman" w:cs="Times New Roman"/>
                <w:bCs/>
                <w:sz w:val="28"/>
                <w:szCs w:val="28"/>
                <w:lang w:val="en-US" w:eastAsia="en-US" w:bidi="ar-SA"/>
              </w:rPr>
              <w:t>32301</w:t>
            </w:r>
          </w:p>
          <w:p w:rsidR="00171237" w:rsidRPr="00510ACA" w:rsidP="00171237" w14:paraId="14961D0A" w14:textId="77777777">
            <w:pPr>
              <w:widowControl w:val="0"/>
              <w:spacing w:after="0" w:line="240" w:lineRule="auto"/>
              <w:outlineLvl w:val="9"/>
              <w:rPr>
                <w:rFonts w:ascii="Times New Roman" w:eastAsia="Times New Roman" w:hAnsi="Times New Roman" w:cs="Times New Roman"/>
                <w:bCs/>
                <w:sz w:val="28"/>
                <w:szCs w:val="28"/>
                <w:lang w:val="en-US" w:eastAsia="en-US" w:bidi="ar-SA"/>
              </w:rPr>
            </w:pPr>
            <w:r w:rsidRPr="00510ACA">
              <w:rPr>
                <w:rFonts w:ascii="Times New Roman" w:eastAsia="Times New Roman" w:hAnsi="Times New Roman" w:cs="Times New Roman"/>
                <w:bCs/>
                <w:sz w:val="28"/>
                <w:szCs w:val="28"/>
                <w:lang w:val="en-US" w:eastAsia="en-US" w:bidi="ar-SA"/>
              </w:rPr>
              <w:t>Tel.: (</w:t>
            </w:r>
            <w:r w:rsidRPr="00B3540D">
              <w:rPr>
                <w:rFonts w:ascii="Times New Roman" w:eastAsia="Times New Roman" w:hAnsi="Times New Roman" w:cs="Times New Roman"/>
                <w:bCs/>
                <w:sz w:val="28"/>
                <w:szCs w:val="28"/>
                <w:lang w:val="en-US" w:eastAsia="en-US" w:bidi="ar-SA"/>
              </w:rPr>
              <w:t>850) 425-5611</w:t>
            </w:r>
          </w:p>
          <w:p w:rsidR="00171237" w:rsidRPr="00621CA2" w:rsidP="00171237" w14:paraId="5DE4C2A1" w14:textId="77777777">
            <w:pPr>
              <w:widowControl w:val="0"/>
              <w:spacing w:after="0" w:line="240" w:lineRule="auto"/>
              <w:outlineLvl w:val="9"/>
              <w:rPr>
                <w:rFonts w:ascii="Times New Roman" w:eastAsia="Times New Roman" w:hAnsi="Times New Roman" w:cs="Times New Roman"/>
                <w:bCs/>
                <w:sz w:val="20"/>
                <w:szCs w:val="20"/>
                <w:lang w:val="en-US" w:eastAsia="en-US" w:bidi="ar-SA"/>
              </w:rPr>
            </w:pPr>
          </w:p>
          <w:p w:rsidR="00171237" w:rsidP="00171237" w14:paraId="2C0B7018" w14:textId="77777777">
            <w:pPr>
              <w:widowControl w:val="0"/>
              <w:spacing w:after="0" w:line="240" w:lineRule="auto"/>
              <w:outlineLvl w:val="9"/>
              <w:rPr>
                <w:rFonts w:ascii="Times New Roman" w:eastAsia="Times New Roman" w:hAnsi="Times New Roman" w:cs="Times New Roman"/>
                <w:bCs/>
                <w:sz w:val="28"/>
                <w:szCs w:val="28"/>
                <w:lang w:val="en-US" w:eastAsia="en-US" w:bidi="ar-SA"/>
              </w:rPr>
            </w:pPr>
            <w:r>
              <w:rPr>
                <w:rFonts w:ascii="Times New Roman" w:eastAsia="Times New Roman" w:hAnsi="Times New Roman" w:cs="Times New Roman"/>
                <w:bCs/>
                <w:iCs/>
                <w:sz w:val="28"/>
                <w:szCs w:val="28"/>
                <w:lang w:val="en-US" w:eastAsia="en-US" w:bidi="ar-SA"/>
              </w:rPr>
              <w:t>Avery A. Holloman</w:t>
            </w:r>
          </w:p>
          <w:p w:rsidR="00171237" w:rsidRPr="004A0824" w:rsidP="00171237" w14:paraId="4DD82388"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sidRPr="004A0824">
              <w:rPr>
                <w:rFonts w:ascii="Times New Roman" w:eastAsia="Times New Roman" w:hAnsi="Times New Roman" w:cs="Times New Roman"/>
                <w:bCs/>
                <w:iCs/>
                <w:sz w:val="28"/>
                <w:szCs w:val="28"/>
                <w:lang w:val="en-US" w:eastAsia="en-US" w:bidi="ar-SA"/>
              </w:rPr>
              <w:t>Holland &amp; Knight LLP</w:t>
            </w:r>
          </w:p>
          <w:p w:rsidR="00171237" w:rsidP="00171237" w14:paraId="77D7F7F0"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100 N. Tampa St., Suite 4100</w:t>
            </w:r>
          </w:p>
          <w:p w:rsidR="00171237" w:rsidP="00171237" w14:paraId="334FA2BB"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Tampa, FL 33602</w:t>
            </w:r>
          </w:p>
          <w:p w:rsidR="00171237" w:rsidP="00171237" w14:paraId="1122B32F" w14:textId="1EECD62F">
            <w:pPr>
              <w:widowControl w:val="0"/>
              <w:spacing w:after="0" w:line="240" w:lineRule="auto"/>
              <w:outlineLvl w:val="9"/>
              <w:rPr>
                <w:rFonts w:ascii="Times New Roman" w:eastAsia="Times New Roman" w:hAnsi="Times New Roman" w:cs="Times New Roman"/>
                <w:bCs/>
                <w:iCs/>
                <w:sz w:val="28"/>
                <w:szCs w:val="28"/>
                <w:lang w:val="en-US" w:eastAsia="en-US" w:bidi="ar-SA"/>
              </w:rPr>
            </w:pPr>
            <w:r>
              <w:rPr>
                <w:rFonts w:ascii="Times New Roman" w:eastAsia="Times New Roman" w:hAnsi="Times New Roman" w:cs="Times New Roman"/>
                <w:bCs/>
                <w:iCs/>
                <w:sz w:val="28"/>
                <w:szCs w:val="28"/>
                <w:lang w:val="en-US" w:eastAsia="en-US" w:bidi="ar-SA"/>
              </w:rPr>
              <w:t>Tel: (813) 227-6614</w:t>
            </w:r>
          </w:p>
          <w:p w:rsidR="00621CA2" w:rsidP="00171237" w14:paraId="7EE19D24" w14:textId="77777777">
            <w:pPr>
              <w:widowControl w:val="0"/>
              <w:spacing w:after="0" w:line="240" w:lineRule="auto"/>
              <w:outlineLvl w:val="9"/>
              <w:rPr>
                <w:rFonts w:ascii="Times New Roman" w:eastAsia="Times New Roman" w:hAnsi="Times New Roman" w:cs="Times New Roman"/>
                <w:bCs/>
                <w:iCs/>
                <w:sz w:val="28"/>
                <w:szCs w:val="28"/>
                <w:lang w:val="en-US" w:eastAsia="en-US" w:bidi="ar-SA"/>
              </w:rPr>
            </w:pPr>
          </w:p>
          <w:p w:rsidR="00171237" w:rsidRPr="00621CA2" w:rsidP="00171237" w14:paraId="30BE1244" w14:textId="4929F574">
            <w:pPr>
              <w:spacing w:after="120" w:line="240" w:lineRule="auto"/>
              <w:outlineLvl w:val="9"/>
              <w:rPr>
                <w:rFonts w:ascii="Times New Roman" w:eastAsia="Times New Roman" w:hAnsi="Times New Roman" w:cs="Times New Roman"/>
                <w:bCs/>
                <w:i/>
                <w:iCs/>
                <w:sz w:val="28"/>
                <w:szCs w:val="28"/>
                <w:lang w:val="en-US" w:eastAsia="en-US" w:bidi="ar-SA"/>
              </w:rPr>
            </w:pPr>
            <w:r>
              <w:rPr>
                <w:rFonts w:ascii="Times New Roman" w:eastAsia="Times New Roman" w:hAnsi="Times New Roman" w:cs="Times New Roman"/>
                <w:bCs/>
                <w:i/>
                <w:iCs/>
                <w:sz w:val="28"/>
                <w:szCs w:val="28"/>
                <w:lang w:val="en-US" w:eastAsia="en-US" w:bidi="ar-SA"/>
              </w:rPr>
              <w:t>Counsel for National Foreign Trade Council, Inc.</w:t>
            </w:r>
          </w:p>
        </w:tc>
      </w:tr>
    </w:tbl>
    <w:p w:rsidR="00B25DEE" w:rsidRPr="00657192" w:rsidP="00510ACA" w14:paraId="7FEEEF11" w14:textId="79C62983">
      <w:pPr>
        <w:spacing w:line="240" w:lineRule="auto"/>
        <w:jc w:val="center"/>
        <w:outlineLvl w:val="9"/>
        <w:rPr>
          <w:rFonts w:eastAsia="Times New Roman"/>
          <w:sz w:val="28"/>
          <w:szCs w:val="28"/>
        </w:rPr>
        <w:sectPr w:rsidSect="001E5BB1">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r w:rsidRPr="00510ACA">
        <w:rPr>
          <w:rFonts w:eastAsia="Times New Roman"/>
          <w:sz w:val="28"/>
          <w:szCs w:val="28"/>
        </w:rPr>
        <w:t>__________________________________________________________________________________________________________________________________</w:t>
      </w:r>
      <w:bookmarkEnd w:id="0"/>
      <w:r w:rsidRPr="00657192">
        <w:rPr>
          <w:rFonts w:eastAsia="Times New Roman"/>
          <w:sz w:val="28"/>
          <w:szCs w:val="28"/>
        </w:rPr>
        <w:t>_</w:t>
      </w:r>
      <w:r w:rsidR="003A3C0F">
        <w:rPr>
          <w:rFonts w:eastAsia="Times New Roman"/>
          <w:sz w:val="28"/>
          <w:szCs w:val="28"/>
        </w:rPr>
        <w:t>_</w:t>
      </w:r>
    </w:p>
    <w:p w:rsidR="00F077E9" w:rsidP="00F077E9" w14:paraId="268321AB" w14:textId="50C02A72">
      <w:pPr>
        <w:pStyle w:val="Heading1"/>
      </w:pPr>
      <w:bookmarkStart w:id="3" w:name="_Toc158823193"/>
      <w:r>
        <w:t>CORPORATE DISCLOSURE STATEMENT</w:t>
      </w:r>
      <w:bookmarkEnd w:id="3"/>
    </w:p>
    <w:p w:rsidR="00F077E9" w:rsidRPr="00F077E9" w:rsidP="00F077E9" w14:paraId="77294A5A" w14:textId="1B01F5C7">
      <w:pPr>
        <w:jc w:val="both"/>
        <w:rPr>
          <w:sz w:val="28"/>
          <w:szCs w:val="28"/>
        </w:rPr>
      </w:pPr>
      <w:r>
        <w:rPr>
          <w:sz w:val="28"/>
          <w:szCs w:val="28"/>
        </w:rPr>
        <w:tab/>
        <w:t xml:space="preserve">Pursuant to Rule 26.1 of the Federal Rules of Appellate Procedure, Amicus Curiae National Foreign Trade Council, Inc. states that </w:t>
      </w:r>
      <w:r w:rsidR="00C23BFA">
        <w:rPr>
          <w:sz w:val="28"/>
          <w:szCs w:val="28"/>
        </w:rPr>
        <w:t>it does not have a parent corporation and that no publicly held company owns 10% or more of the stock of the amicus.</w:t>
      </w:r>
    </w:p>
    <w:p w:rsidR="00F077E9" w:rsidRPr="00F077E9" w:rsidP="00F077E9" w14:paraId="01F5D35F" w14:textId="5F5DA4AB">
      <w:pPr>
        <w:spacing w:after="160" w:line="259" w:lineRule="auto"/>
        <w:jc w:val="center"/>
        <w:outlineLvl w:val="9"/>
        <w:rPr>
          <w:b/>
          <w:bCs/>
          <w:sz w:val="28"/>
          <w:szCs w:val="28"/>
          <w:u w:val="single"/>
        </w:rPr>
      </w:pPr>
      <w:r>
        <w:br w:type="page"/>
      </w:r>
    </w:p>
    <w:p w:rsidR="00B25DEE" w:rsidRPr="006413E9" w:rsidP="00EF6349" w14:paraId="3F0BCD22" w14:textId="058CB484">
      <w:pPr>
        <w:pStyle w:val="Heading1"/>
      </w:pPr>
      <w:bookmarkStart w:id="4" w:name="_Toc158823194"/>
      <w:r w:rsidRPr="006413E9">
        <w:t>TABLE OF CONTENTS</w:t>
      </w:r>
      <w:bookmarkEnd w:id="4"/>
    </w:p>
    <w:p w:rsidR="003C0EC8" w14:paraId="571A57D0" w14:textId="1DF9AAC3">
      <w:pPr>
        <w:pStyle w:val="TOC1"/>
        <w:tabs>
          <w:tab w:val="right" w:leader="dot" w:pos="9350"/>
        </w:tabs>
        <w:rPr>
          <w:rFonts w:asciiTheme="minorHAnsi" w:eastAsiaTheme="minorEastAsia" w:hAnsiTheme="minorHAnsi" w:cstheme="minorBidi"/>
          <w:noProof/>
          <w:sz w:val="22"/>
          <w:szCs w:val="22"/>
        </w:rPr>
      </w:pPr>
      <w:r/>
      <w:r>
        <w:instrText xml:space="preserve"/>
      </w:r>
      <w:r/>
      <w:hyperlink w:anchor="_Toc158823193" w:history="1">
        <w:r w:rsidRPr="001D1ED8">
          <w:rPr>
            <w:rStyle w:val="Hyperlink"/>
            <w:noProof/>
          </w:rPr>
          <w:t>CORPORATE DISCLOSURE STATEMENT</w:t>
        </w:r>
        <w:r>
          <w:rPr>
            <w:noProof/>
            <w:webHidden/>
          </w:rPr>
          <w:tab/>
        </w:r>
        <w:r>
          <w:rPr>
            <w:noProof/>
            <w:webHidden/>
          </w:rPr>
          <w:fldChar w:fldCharType="begin"/>
        </w:r>
        <w:r>
          <w:rPr>
            <w:noProof/>
            <w:webHidden/>
          </w:rPr>
          <w:instrText xml:space="preserve"> PAGEREF _Toc158823193 \h </w:instrText>
        </w:r>
        <w:r>
          <w:rPr>
            <w:noProof/>
            <w:webHidden/>
          </w:rPr>
          <w:fldChar w:fldCharType="separate"/>
        </w:r>
        <w:r>
          <w:rPr>
            <w:noProof/>
            <w:webHidden/>
          </w:rPr>
          <w:t>i</w:t>
        </w:r>
        <w:r>
          <w:rPr>
            <w:noProof/>
            <w:webHidden/>
          </w:rPr>
          <w:fldChar w:fldCharType="end"/>
        </w:r>
      </w:hyperlink>
    </w:p>
    <w:p w:rsidR="003C0EC8" w14:paraId="28A7AFA7" w14:textId="591BCFEC">
      <w:pPr>
        <w:pStyle w:val="TOC1"/>
        <w:tabs>
          <w:tab w:val="right" w:leader="dot" w:pos="9350"/>
        </w:tabs>
        <w:rPr>
          <w:rFonts w:asciiTheme="minorHAnsi" w:eastAsiaTheme="minorEastAsia" w:hAnsiTheme="minorHAnsi" w:cstheme="minorBidi"/>
          <w:noProof/>
          <w:sz w:val="22"/>
          <w:szCs w:val="22"/>
        </w:rPr>
      </w:pPr>
      <w:hyperlink w:anchor="_Toc158823194" w:history="1">
        <w:r w:rsidRPr="001D1ED8">
          <w:rPr>
            <w:rStyle w:val="Hyperlink"/>
            <w:noProof/>
          </w:rPr>
          <w:t>TABLE OF CONTENTS</w:t>
        </w:r>
        <w:r>
          <w:rPr>
            <w:noProof/>
            <w:webHidden/>
          </w:rPr>
          <w:tab/>
        </w:r>
        <w:r>
          <w:rPr>
            <w:noProof/>
            <w:webHidden/>
          </w:rPr>
        </w:r>
        <w:r>
          <w:rPr>
            <w:noProof/>
            <w:webHidden/>
          </w:rPr>
          <w:instrText xml:space="preserve"/>
        </w:r>
        <w:r>
          <w:rPr>
            <w:noProof/>
            <w:webHidden/>
          </w:rPr>
        </w:r>
        <w:r>
          <w:rPr>
            <w:noProof/>
            <w:webHidden/>
          </w:rPr>
          <w:t>ii</w:t>
        </w:r>
        <w:r>
          <w:rPr>
            <w:noProof/>
            <w:webHidden/>
          </w:rPr>
        </w:r>
      </w:hyperlink>
    </w:p>
    <w:p w:rsidR="003C0EC8" w14:paraId="440A56CF" w14:textId="66B56683">
      <w:pPr>
        <w:pStyle w:val="TOC1"/>
        <w:tabs>
          <w:tab w:val="right" w:leader="dot" w:pos="9350"/>
        </w:tabs>
        <w:rPr>
          <w:rFonts w:asciiTheme="minorHAnsi" w:eastAsiaTheme="minorEastAsia" w:hAnsiTheme="minorHAnsi" w:cstheme="minorBidi"/>
          <w:noProof/>
          <w:sz w:val="22"/>
          <w:szCs w:val="22"/>
        </w:rPr>
      </w:pPr>
      <w:hyperlink w:anchor="_Toc158823195" w:history="1">
        <w:r w:rsidRPr="001D1ED8">
          <w:rPr>
            <w:rStyle w:val="Hyperlink"/>
            <w:noProof/>
          </w:rPr>
          <w:t>TABLE OF AUTHORITIES</w:t>
        </w:r>
        <w:r>
          <w:rPr>
            <w:noProof/>
            <w:webHidden/>
          </w:rPr>
          <w:tab/>
        </w:r>
        <w:r>
          <w:rPr>
            <w:noProof/>
            <w:webHidden/>
          </w:rPr>
        </w:r>
        <w:r>
          <w:rPr>
            <w:noProof/>
            <w:webHidden/>
          </w:rPr>
          <w:instrText xml:space="preserve"/>
        </w:r>
        <w:r>
          <w:rPr>
            <w:noProof/>
            <w:webHidden/>
          </w:rPr>
        </w:r>
        <w:r>
          <w:rPr>
            <w:noProof/>
            <w:webHidden/>
          </w:rPr>
          <w:t>iii</w:t>
        </w:r>
        <w:r>
          <w:rPr>
            <w:noProof/>
            <w:webHidden/>
          </w:rPr>
        </w:r>
      </w:hyperlink>
    </w:p>
    <w:p w:rsidR="003C0EC8" w14:paraId="5BB1256E" w14:textId="6A64C74B">
      <w:pPr>
        <w:pStyle w:val="TOC1"/>
        <w:tabs>
          <w:tab w:val="right" w:leader="dot" w:pos="9350"/>
        </w:tabs>
        <w:rPr>
          <w:rFonts w:asciiTheme="minorHAnsi" w:eastAsiaTheme="minorEastAsia" w:hAnsiTheme="minorHAnsi" w:cstheme="minorBidi"/>
          <w:noProof/>
          <w:sz w:val="22"/>
          <w:szCs w:val="22"/>
        </w:rPr>
      </w:pPr>
      <w:hyperlink w:anchor="_Toc158823196" w:history="1">
        <w:r w:rsidRPr="001D1ED8">
          <w:rPr>
            <w:rStyle w:val="Hyperlink"/>
            <w:noProof/>
          </w:rPr>
          <w:t>INTEREST OF AMICUS CURIAE</w:t>
        </w:r>
        <w:r>
          <w:rPr>
            <w:noProof/>
            <w:webHidden/>
          </w:rPr>
          <w:tab/>
        </w:r>
        <w:r>
          <w:rPr>
            <w:noProof/>
            <w:webHidden/>
          </w:rPr>
        </w:r>
        <w:r>
          <w:rPr>
            <w:noProof/>
            <w:webHidden/>
          </w:rPr>
          <w:instrText xml:space="preserve"/>
        </w:r>
        <w:r>
          <w:rPr>
            <w:noProof/>
            <w:webHidden/>
          </w:rPr>
        </w:r>
        <w:r>
          <w:rPr>
            <w:noProof/>
            <w:webHidden/>
          </w:rPr>
          <w:t>v</w:t>
        </w:r>
        <w:r>
          <w:rPr>
            <w:noProof/>
            <w:webHidden/>
          </w:rPr>
        </w:r>
      </w:hyperlink>
    </w:p>
    <w:p w:rsidR="003C0EC8" w14:paraId="35F5CBD2" w14:textId="66587A56">
      <w:pPr>
        <w:pStyle w:val="TOC1"/>
        <w:tabs>
          <w:tab w:val="right" w:leader="dot" w:pos="9350"/>
        </w:tabs>
        <w:rPr>
          <w:rFonts w:asciiTheme="minorHAnsi" w:eastAsiaTheme="minorEastAsia" w:hAnsiTheme="minorHAnsi" w:cstheme="minorBidi"/>
          <w:noProof/>
          <w:sz w:val="22"/>
          <w:szCs w:val="22"/>
        </w:rPr>
      </w:pPr>
      <w:hyperlink w:anchor="_Toc158823197" w:history="1">
        <w:r w:rsidRPr="001D1ED8">
          <w:rPr>
            <w:rStyle w:val="Hyperlink"/>
            <w:noProof/>
          </w:rPr>
          <w:t>CONSENT OF THE PARTIES</w:t>
        </w:r>
        <w:r>
          <w:rPr>
            <w:noProof/>
            <w:webHidden/>
          </w:rPr>
          <w:tab/>
        </w:r>
        <w:r>
          <w:rPr>
            <w:noProof/>
            <w:webHidden/>
          </w:rPr>
        </w:r>
        <w:r>
          <w:rPr>
            <w:noProof/>
            <w:webHidden/>
          </w:rPr>
          <w:instrText xml:space="preserve"/>
        </w:r>
        <w:r>
          <w:rPr>
            <w:noProof/>
            <w:webHidden/>
          </w:rPr>
        </w:r>
        <w:r>
          <w:rPr>
            <w:noProof/>
            <w:webHidden/>
          </w:rPr>
          <w:t>vi</w:t>
        </w:r>
        <w:r>
          <w:rPr>
            <w:noProof/>
            <w:webHidden/>
          </w:rPr>
        </w:r>
      </w:hyperlink>
    </w:p>
    <w:p w:rsidR="003C0EC8" w14:paraId="31990F7B" w14:textId="0C838F29">
      <w:pPr>
        <w:pStyle w:val="TOC1"/>
        <w:tabs>
          <w:tab w:val="right" w:leader="dot" w:pos="9350"/>
        </w:tabs>
        <w:rPr>
          <w:rFonts w:asciiTheme="minorHAnsi" w:eastAsiaTheme="minorEastAsia" w:hAnsiTheme="minorHAnsi" w:cstheme="minorBidi"/>
          <w:noProof/>
          <w:sz w:val="22"/>
          <w:szCs w:val="22"/>
        </w:rPr>
      </w:pPr>
      <w:hyperlink w:anchor="_Toc158823198" w:history="1">
        <w:r w:rsidRPr="001D1ED8">
          <w:rPr>
            <w:rStyle w:val="Hyperlink"/>
            <w:noProof/>
          </w:rPr>
          <w:t>INTRODUCTION &amp; SUMMARY OF THE ARGUMENT</w:t>
        </w:r>
        <w:r>
          <w:rPr>
            <w:noProof/>
            <w:webHidden/>
          </w:rPr>
          <w:tab/>
        </w:r>
        <w:r>
          <w:rPr>
            <w:noProof/>
            <w:webHidden/>
          </w:rPr>
        </w:r>
        <w:r>
          <w:rPr>
            <w:noProof/>
            <w:webHidden/>
          </w:rPr>
          <w:instrText xml:space="preserve"/>
        </w:r>
        <w:r>
          <w:rPr>
            <w:noProof/>
            <w:webHidden/>
          </w:rPr>
        </w:r>
        <w:r>
          <w:rPr>
            <w:noProof/>
            <w:webHidden/>
          </w:rPr>
          <w:t>1</w:t>
        </w:r>
        <w:r>
          <w:rPr>
            <w:noProof/>
            <w:webHidden/>
          </w:rPr>
        </w:r>
      </w:hyperlink>
    </w:p>
    <w:p w:rsidR="003C0EC8" w14:paraId="57F3B381" w14:textId="108CA33A">
      <w:pPr>
        <w:pStyle w:val="TOC1"/>
        <w:tabs>
          <w:tab w:val="right" w:leader="dot" w:pos="9350"/>
        </w:tabs>
        <w:rPr>
          <w:rFonts w:asciiTheme="minorHAnsi" w:eastAsiaTheme="minorEastAsia" w:hAnsiTheme="minorHAnsi" w:cstheme="minorBidi"/>
          <w:noProof/>
          <w:sz w:val="22"/>
          <w:szCs w:val="22"/>
        </w:rPr>
      </w:pPr>
      <w:hyperlink w:anchor="_Toc158823199" w:history="1">
        <w:r w:rsidRPr="001D1ED8">
          <w:rPr>
            <w:rStyle w:val="Hyperlink"/>
            <w:noProof/>
          </w:rPr>
          <w:t>ARGUMENT</w:t>
        </w:r>
        <w:r>
          <w:rPr>
            <w:noProof/>
            <w:webHidden/>
          </w:rPr>
          <w:tab/>
        </w:r>
        <w:r>
          <w:rPr>
            <w:noProof/>
            <w:webHidden/>
          </w:rPr>
        </w:r>
        <w:r>
          <w:rPr>
            <w:noProof/>
            <w:webHidden/>
          </w:rPr>
          <w:instrText xml:space="preserve"/>
        </w:r>
        <w:r>
          <w:rPr>
            <w:noProof/>
            <w:webHidden/>
          </w:rPr>
        </w:r>
        <w:r>
          <w:rPr>
            <w:noProof/>
            <w:webHidden/>
          </w:rPr>
          <w:t>3</w:t>
        </w:r>
        <w:r>
          <w:rPr>
            <w:noProof/>
            <w:webHidden/>
          </w:rPr>
        </w:r>
      </w:hyperlink>
    </w:p>
    <w:p w:rsidR="003C0EC8" w14:paraId="3B3A4331" w14:textId="3C2DB993">
      <w:pPr>
        <w:pStyle w:val="TOC2"/>
        <w:tabs>
          <w:tab w:val="left" w:pos="660"/>
          <w:tab w:val="right" w:leader="dot" w:pos="9350"/>
        </w:tabs>
        <w:rPr>
          <w:rFonts w:asciiTheme="minorHAnsi" w:eastAsiaTheme="minorEastAsia" w:hAnsiTheme="minorHAnsi" w:cstheme="minorBidi"/>
          <w:noProof/>
          <w:sz w:val="22"/>
          <w:szCs w:val="22"/>
        </w:rPr>
      </w:pPr>
      <w:hyperlink w:anchor="_Toc158823200" w:history="1">
        <w:r w:rsidRPr="001D1ED8">
          <w:rPr>
            <w:rStyle w:val="Hyperlink"/>
            <w:noProof/>
          </w:rPr>
          <w:t>I.</w:t>
        </w:r>
        <w:r>
          <w:rPr>
            <w:rFonts w:asciiTheme="minorHAnsi" w:eastAsiaTheme="minorEastAsia" w:hAnsiTheme="minorHAnsi" w:cstheme="minorBidi"/>
            <w:noProof/>
            <w:sz w:val="22"/>
            <w:szCs w:val="22"/>
          </w:rPr>
          <w:tab/>
        </w:r>
        <w:r w:rsidRPr="001D1ED8">
          <w:rPr>
            <w:rStyle w:val="Hyperlink"/>
            <w:noProof/>
          </w:rPr>
          <w:t>The Tax Court Erred in Upholding the Blocked Income Rule.</w:t>
        </w:r>
        <w:r>
          <w:rPr>
            <w:noProof/>
            <w:webHidden/>
          </w:rPr>
          <w:tab/>
        </w:r>
        <w:r>
          <w:rPr>
            <w:noProof/>
            <w:webHidden/>
          </w:rPr>
        </w:r>
        <w:r>
          <w:rPr>
            <w:noProof/>
            <w:webHidden/>
          </w:rPr>
          <w:instrText xml:space="preserve"/>
        </w:r>
        <w:r>
          <w:rPr>
            <w:noProof/>
            <w:webHidden/>
          </w:rPr>
        </w:r>
        <w:r>
          <w:rPr>
            <w:noProof/>
            <w:webHidden/>
          </w:rPr>
          <w:t>3</w:t>
        </w:r>
        <w:r>
          <w:rPr>
            <w:noProof/>
            <w:webHidden/>
          </w:rPr>
        </w:r>
      </w:hyperlink>
    </w:p>
    <w:p w:rsidR="003C0EC8" w14:paraId="453074C9" w14:textId="0E0492DB">
      <w:pPr>
        <w:pStyle w:val="TOC3"/>
        <w:rPr>
          <w:rFonts w:asciiTheme="minorHAnsi" w:eastAsiaTheme="minorEastAsia" w:hAnsiTheme="minorHAnsi" w:cstheme="minorBidi"/>
          <w:noProof/>
          <w:sz w:val="22"/>
          <w:szCs w:val="22"/>
        </w:rPr>
      </w:pPr>
      <w:hyperlink w:anchor="_Toc158823201" w:history="1">
        <w:r w:rsidRPr="001D1ED8">
          <w:rPr>
            <w:rStyle w:val="Hyperlink"/>
            <w:noProof/>
          </w:rPr>
          <w:t>A.</w:t>
        </w:r>
        <w:r>
          <w:rPr>
            <w:rFonts w:asciiTheme="minorHAnsi" w:eastAsiaTheme="minorEastAsia" w:hAnsiTheme="minorHAnsi" w:cstheme="minorBidi"/>
            <w:noProof/>
            <w:sz w:val="22"/>
            <w:szCs w:val="22"/>
          </w:rPr>
          <w:tab/>
        </w:r>
        <w:r w:rsidRPr="001D1ED8">
          <w:rPr>
            <w:rStyle w:val="Hyperlink"/>
            <w:noProof/>
          </w:rPr>
          <w:t>The Blocked Income Rule Fails Under the First Step of Chevron.</w:t>
        </w:r>
        <w:r>
          <w:rPr>
            <w:noProof/>
            <w:webHidden/>
          </w:rPr>
          <w:tab/>
        </w:r>
        <w:r>
          <w:rPr>
            <w:noProof/>
            <w:webHidden/>
          </w:rPr>
        </w:r>
        <w:r>
          <w:rPr>
            <w:noProof/>
            <w:webHidden/>
          </w:rPr>
          <w:instrText xml:space="preserve"/>
        </w:r>
        <w:r>
          <w:rPr>
            <w:noProof/>
            <w:webHidden/>
          </w:rPr>
        </w:r>
        <w:r>
          <w:rPr>
            <w:noProof/>
            <w:webHidden/>
          </w:rPr>
          <w:t>3</w:t>
        </w:r>
        <w:r>
          <w:rPr>
            <w:noProof/>
            <w:webHidden/>
          </w:rPr>
        </w:r>
      </w:hyperlink>
    </w:p>
    <w:p w:rsidR="003C0EC8" w14:paraId="6EFD0F85" w14:textId="3D285161">
      <w:pPr>
        <w:pStyle w:val="TOC3"/>
        <w:rPr>
          <w:rFonts w:asciiTheme="minorHAnsi" w:eastAsiaTheme="minorEastAsia" w:hAnsiTheme="minorHAnsi" w:cstheme="minorBidi"/>
          <w:noProof/>
          <w:sz w:val="22"/>
          <w:szCs w:val="22"/>
        </w:rPr>
      </w:pPr>
      <w:hyperlink w:anchor="_Toc158823202" w:history="1">
        <w:r w:rsidRPr="001D1ED8">
          <w:rPr>
            <w:rStyle w:val="Hyperlink"/>
            <w:noProof/>
          </w:rPr>
          <w:t>B.</w:t>
        </w:r>
        <w:r>
          <w:rPr>
            <w:rFonts w:asciiTheme="minorHAnsi" w:eastAsiaTheme="minorEastAsia" w:hAnsiTheme="minorHAnsi" w:cstheme="minorBidi"/>
            <w:noProof/>
            <w:sz w:val="22"/>
            <w:szCs w:val="22"/>
          </w:rPr>
          <w:tab/>
        </w:r>
        <w:r w:rsidRPr="001D1ED8">
          <w:rPr>
            <w:rStyle w:val="Hyperlink"/>
            <w:noProof/>
          </w:rPr>
          <w:t>The Blocked Income Rule leads to unjust results that Congress could not have intended.</w:t>
        </w:r>
        <w:r>
          <w:rPr>
            <w:noProof/>
            <w:webHidden/>
          </w:rPr>
          <w:tab/>
        </w:r>
        <w:r>
          <w:rPr>
            <w:noProof/>
            <w:webHidden/>
          </w:rPr>
        </w:r>
        <w:r>
          <w:rPr>
            <w:noProof/>
            <w:webHidden/>
          </w:rPr>
          <w:instrText xml:space="preserve"/>
        </w:r>
        <w:r>
          <w:rPr>
            <w:noProof/>
            <w:webHidden/>
          </w:rPr>
        </w:r>
        <w:r>
          <w:rPr>
            <w:noProof/>
            <w:webHidden/>
          </w:rPr>
          <w:t>4</w:t>
        </w:r>
        <w:r>
          <w:rPr>
            <w:noProof/>
            <w:webHidden/>
          </w:rPr>
        </w:r>
      </w:hyperlink>
    </w:p>
    <w:p w:rsidR="003C0EC8" w14:paraId="7D494C9C" w14:textId="105AAABA">
      <w:pPr>
        <w:pStyle w:val="TOC3"/>
        <w:rPr>
          <w:rFonts w:asciiTheme="minorHAnsi" w:eastAsiaTheme="minorEastAsia" w:hAnsiTheme="minorHAnsi" w:cstheme="minorBidi"/>
          <w:noProof/>
          <w:sz w:val="22"/>
          <w:szCs w:val="22"/>
        </w:rPr>
      </w:pPr>
      <w:hyperlink w:anchor="_Toc158823203" w:history="1">
        <w:r w:rsidRPr="001D1ED8">
          <w:rPr>
            <w:rStyle w:val="Hyperlink"/>
            <w:noProof/>
          </w:rPr>
          <w:t>C.</w:t>
        </w:r>
        <w:r>
          <w:rPr>
            <w:rFonts w:asciiTheme="minorHAnsi" w:eastAsiaTheme="minorEastAsia" w:hAnsiTheme="minorHAnsi" w:cstheme="minorBidi"/>
            <w:noProof/>
            <w:sz w:val="22"/>
            <w:szCs w:val="22"/>
          </w:rPr>
          <w:tab/>
        </w:r>
        <w:r w:rsidRPr="001D1ED8">
          <w:rPr>
            <w:rStyle w:val="Hyperlink"/>
            <w:noProof/>
          </w:rPr>
          <w:t>The Blocked Income Rule is Procedurally Invalid Because the IRS Failed to Consider Comments Alerting the Agency to Significant Problems and Potential Remedies.</w:t>
        </w:r>
        <w:r>
          <w:rPr>
            <w:noProof/>
            <w:webHidden/>
          </w:rPr>
          <w:tab/>
        </w:r>
        <w:r>
          <w:rPr>
            <w:noProof/>
            <w:webHidden/>
          </w:rPr>
        </w:r>
        <w:r>
          <w:rPr>
            <w:noProof/>
            <w:webHidden/>
          </w:rPr>
          <w:instrText xml:space="preserve"/>
        </w:r>
        <w:r>
          <w:rPr>
            <w:noProof/>
            <w:webHidden/>
          </w:rPr>
        </w:r>
        <w:r>
          <w:rPr>
            <w:noProof/>
            <w:webHidden/>
          </w:rPr>
          <w:t>11</w:t>
        </w:r>
        <w:r>
          <w:rPr>
            <w:noProof/>
            <w:webHidden/>
          </w:rPr>
        </w:r>
      </w:hyperlink>
    </w:p>
    <w:p w:rsidR="003C0EC8" w14:paraId="000D0113" w14:textId="4FBD2CF4">
      <w:pPr>
        <w:pStyle w:val="TOC1"/>
        <w:tabs>
          <w:tab w:val="right" w:leader="dot" w:pos="9350"/>
        </w:tabs>
        <w:rPr>
          <w:rFonts w:asciiTheme="minorHAnsi" w:eastAsiaTheme="minorEastAsia" w:hAnsiTheme="minorHAnsi" w:cstheme="minorBidi"/>
          <w:noProof/>
          <w:sz w:val="22"/>
          <w:szCs w:val="22"/>
        </w:rPr>
      </w:pPr>
      <w:hyperlink w:anchor="_Toc158823204" w:history="1">
        <w:r w:rsidRPr="001D1ED8">
          <w:rPr>
            <w:rStyle w:val="Hyperlink"/>
            <w:noProof/>
          </w:rPr>
          <w:t>CONCLUSION</w:t>
        </w:r>
        <w:r>
          <w:rPr>
            <w:noProof/>
            <w:webHidden/>
          </w:rPr>
          <w:tab/>
        </w:r>
        <w:r>
          <w:rPr>
            <w:noProof/>
            <w:webHidden/>
          </w:rPr>
        </w:r>
        <w:r>
          <w:rPr>
            <w:noProof/>
            <w:webHidden/>
          </w:rPr>
          <w:instrText xml:space="preserve"/>
        </w:r>
        <w:r>
          <w:rPr>
            <w:noProof/>
            <w:webHidden/>
          </w:rPr>
        </w:r>
        <w:r>
          <w:rPr>
            <w:noProof/>
            <w:webHidden/>
          </w:rPr>
          <w:t>17</w:t>
        </w:r>
        <w:r>
          <w:rPr>
            <w:noProof/>
            <w:webHidden/>
          </w:rPr>
        </w:r>
      </w:hyperlink>
    </w:p>
    <w:p w:rsidR="003C0EC8" w14:paraId="0DEEE7E2" w14:textId="676DB7F8">
      <w:pPr>
        <w:pStyle w:val="TOC1"/>
        <w:tabs>
          <w:tab w:val="right" w:leader="dot" w:pos="9350"/>
        </w:tabs>
        <w:rPr>
          <w:rFonts w:asciiTheme="minorHAnsi" w:eastAsiaTheme="minorEastAsia" w:hAnsiTheme="minorHAnsi" w:cstheme="minorBidi"/>
          <w:noProof/>
          <w:sz w:val="22"/>
          <w:szCs w:val="22"/>
        </w:rPr>
      </w:pPr>
      <w:hyperlink w:anchor="_Toc158823205" w:history="1">
        <w:r w:rsidRPr="001D1ED8">
          <w:rPr>
            <w:rStyle w:val="Hyperlink"/>
            <w:noProof/>
          </w:rPr>
          <w:t>CERTIFICATE OF COMPLIANCE</w:t>
        </w:r>
        <w:r>
          <w:rPr>
            <w:noProof/>
            <w:webHidden/>
          </w:rPr>
          <w:tab/>
        </w:r>
        <w:r>
          <w:rPr>
            <w:noProof/>
            <w:webHidden/>
          </w:rPr>
        </w:r>
        <w:r>
          <w:rPr>
            <w:noProof/>
            <w:webHidden/>
          </w:rPr>
          <w:instrText xml:space="preserve"/>
        </w:r>
        <w:r>
          <w:rPr>
            <w:noProof/>
            <w:webHidden/>
          </w:rPr>
        </w:r>
        <w:r>
          <w:rPr>
            <w:noProof/>
            <w:webHidden/>
          </w:rPr>
          <w:t>18</w:t>
        </w:r>
        <w:r>
          <w:rPr>
            <w:noProof/>
            <w:webHidden/>
          </w:rPr>
        </w:r>
      </w:hyperlink>
    </w:p>
    <w:p w:rsidR="003C0EC8" w14:paraId="21428280" w14:textId="4A558DBD">
      <w:pPr>
        <w:pStyle w:val="TOC1"/>
        <w:tabs>
          <w:tab w:val="right" w:leader="dot" w:pos="9350"/>
        </w:tabs>
        <w:rPr>
          <w:rFonts w:asciiTheme="minorHAnsi" w:eastAsiaTheme="minorEastAsia" w:hAnsiTheme="minorHAnsi" w:cstheme="minorBidi"/>
          <w:noProof/>
          <w:sz w:val="22"/>
          <w:szCs w:val="22"/>
        </w:rPr>
      </w:pPr>
      <w:hyperlink w:anchor="_Toc158823206" w:history="1">
        <w:r w:rsidRPr="001D1ED8">
          <w:rPr>
            <w:rStyle w:val="Hyperlink"/>
            <w:noProof/>
          </w:rPr>
          <w:t>CERTIFICATE OF SERVICE</w:t>
        </w:r>
        <w:r>
          <w:rPr>
            <w:noProof/>
            <w:webHidden/>
          </w:rPr>
          <w:tab/>
        </w:r>
        <w:r>
          <w:rPr>
            <w:noProof/>
            <w:webHidden/>
          </w:rPr>
        </w:r>
        <w:r>
          <w:rPr>
            <w:noProof/>
            <w:webHidden/>
          </w:rPr>
          <w:instrText xml:space="preserve"/>
        </w:r>
        <w:r>
          <w:rPr>
            <w:noProof/>
            <w:webHidden/>
          </w:rPr>
        </w:r>
        <w:r>
          <w:rPr>
            <w:noProof/>
            <w:webHidden/>
          </w:rPr>
          <w:t>19</w:t>
        </w:r>
        <w:r>
          <w:rPr>
            <w:noProof/>
            <w:webHidden/>
          </w:rPr>
        </w:r>
      </w:hyperlink>
    </w:p>
    <w:p w:rsidR="002F3CE3" w:rsidP="002F3CE3" w14:paraId="6EA1241E" w14:textId="0F952EE1">
      <w:r/>
      <w:r>
        <w:br w:type="page"/>
      </w:r>
    </w:p>
    <w:p w:rsidR="00AB3CCA" w:rsidP="00EF6349" w14:paraId="4833ABEC" w14:textId="77777777">
      <w:pPr>
        <w:pStyle w:val="Heading1"/>
      </w:pPr>
      <w:bookmarkStart w:id="5" w:name="_Toc158823195"/>
      <w:r w:rsidRPr="00657192">
        <w:t>TABLE OF AUTHORITIE</w:t>
      </w:r>
      <w:r w:rsidR="006413E9">
        <w:t>S</w:t>
      </w:r>
      <w:bookmarkEnd w:id="5"/>
    </w:p>
    <w:p w:rsidR="00AB3CCA" w:rsidRPr="005815D6" w:rsidP="005815D6" w14:paraId="20713006" w14:textId="512B2E3C">
      <w:pPr>
        <w:rPr>
          <w:b/>
          <w:bCs/>
          <w:sz w:val="28"/>
          <w:szCs w:val="28"/>
        </w:rPr>
      </w:pPr>
      <w:r w:rsidRPr="005815D6">
        <w:rPr>
          <w:b/>
          <w:bCs/>
          <w:sz w:val="28"/>
          <w:szCs w:val="28"/>
        </w:rPr>
        <w:t>Case</w:t>
      </w:r>
      <w:r w:rsidRPr="005815D6" w:rsidR="00680AEC">
        <w:rPr>
          <w:b/>
          <w:bCs/>
          <w:sz w:val="28"/>
          <w:szCs w:val="28"/>
        </w:rPr>
        <w:t>s</w:t>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Pr="005815D6" w:rsidR="00680AEC">
        <w:rPr>
          <w:b/>
          <w:bCs/>
          <w:sz w:val="28"/>
          <w:szCs w:val="28"/>
        </w:rPr>
        <w:tab/>
      </w:r>
      <w:r w:rsidR="005815D6">
        <w:rPr>
          <w:b/>
          <w:bCs/>
          <w:sz w:val="28"/>
          <w:szCs w:val="28"/>
        </w:rPr>
        <w:t xml:space="preserve">        </w:t>
      </w:r>
      <w:r w:rsidRPr="005815D6" w:rsidR="00680AEC">
        <w:rPr>
          <w:b/>
          <w:bCs/>
          <w:sz w:val="28"/>
          <w:szCs w:val="28"/>
        </w:rPr>
        <w:t>Page</w:t>
      </w:r>
      <w:r w:rsidR="005815D6">
        <w:rPr>
          <w:b/>
          <w:bCs/>
          <w:sz w:val="28"/>
          <w:szCs w:val="28"/>
        </w:rPr>
        <w:t>(s)</w:t>
      </w:r>
    </w:p>
    <w:p w:rsidR="00B4014E" w:rsidP="002151DE" w14:paraId="4705C77D" w14:textId="77777777">
      <w:pPr>
        <w:tabs>
          <w:tab w:val="right" w:leader="dot" w:pos="864"/>
          <w:tab w:val="left" w:leader="dot" w:pos="9000"/>
        </w:tabs>
        <w:spacing w:line="240" w:lineRule="auto"/>
        <w:rPr>
          <w:sz w:val="28"/>
          <w:szCs w:val="28"/>
        </w:rPr>
      </w:pPr>
      <w:r>
        <w:rPr>
          <w:i/>
          <w:iCs/>
          <w:sz w:val="28"/>
          <w:szCs w:val="28"/>
        </w:rPr>
        <w:t>Ass’n for Cmty. Affiliated Plans v. U.S. Dep’t of Treasury</w:t>
      </w:r>
      <w:r>
        <w:rPr>
          <w:sz w:val="28"/>
          <w:szCs w:val="28"/>
        </w:rPr>
        <w:t xml:space="preserve">, </w:t>
      </w:r>
    </w:p>
    <w:p w:rsidR="004B794D" w:rsidP="002A49F2" w14:paraId="3F501588" w14:textId="3759940E">
      <w:pPr>
        <w:tabs>
          <w:tab w:val="right" w:leader="dot" w:pos="864"/>
          <w:tab w:val="left" w:leader="dot" w:pos="8640"/>
        </w:tabs>
        <w:spacing w:after="240" w:line="240" w:lineRule="auto"/>
        <w:rPr>
          <w:i/>
          <w:iCs/>
          <w:sz w:val="28"/>
          <w:szCs w:val="28"/>
        </w:rPr>
      </w:pPr>
      <w:r>
        <w:rPr>
          <w:sz w:val="28"/>
          <w:szCs w:val="28"/>
        </w:rPr>
        <w:t xml:space="preserve">          </w:t>
      </w:r>
      <w:r>
        <w:rPr>
          <w:sz w:val="28"/>
          <w:szCs w:val="28"/>
        </w:rPr>
        <w:t>392 F. Supp. 3d 22 (D.D.C. 2019)</w:t>
      </w:r>
      <w:r w:rsidR="002151DE">
        <w:rPr>
          <w:sz w:val="28"/>
          <w:szCs w:val="28"/>
        </w:rPr>
        <w:tab/>
        <w:t>4, 10</w:t>
      </w:r>
    </w:p>
    <w:p w:rsidR="00B4014E" w:rsidP="002151DE" w14:paraId="2CF132A8" w14:textId="77777777">
      <w:pPr>
        <w:tabs>
          <w:tab w:val="right" w:leader="dot" w:pos="864"/>
          <w:tab w:val="left" w:leader="dot" w:pos="9000"/>
        </w:tabs>
        <w:spacing w:line="240" w:lineRule="auto"/>
        <w:rPr>
          <w:sz w:val="28"/>
          <w:szCs w:val="28"/>
        </w:rPr>
      </w:pPr>
      <w:r>
        <w:rPr>
          <w:i/>
          <w:iCs/>
          <w:sz w:val="28"/>
          <w:szCs w:val="28"/>
        </w:rPr>
        <w:t>Balt. Gas &amp; Elec. Co. v. United States</w:t>
      </w:r>
      <w:r>
        <w:rPr>
          <w:sz w:val="28"/>
          <w:szCs w:val="28"/>
        </w:rPr>
        <w:t>,</w:t>
      </w:r>
    </w:p>
    <w:p w:rsidR="00B4014E" w:rsidP="002151DE" w14:paraId="08C3EAC7" w14:textId="3F17EC2B">
      <w:pPr>
        <w:tabs>
          <w:tab w:val="right" w:leader="dot" w:pos="864"/>
          <w:tab w:val="left" w:leader="dot" w:pos="9000"/>
        </w:tabs>
        <w:spacing w:after="240" w:line="240" w:lineRule="auto"/>
        <w:rPr>
          <w:i/>
          <w:iCs/>
          <w:sz w:val="28"/>
          <w:szCs w:val="28"/>
        </w:rPr>
      </w:pPr>
      <w:r>
        <w:rPr>
          <w:sz w:val="28"/>
          <w:szCs w:val="28"/>
        </w:rPr>
        <w:t xml:space="preserve">          </w:t>
      </w:r>
      <w:r>
        <w:rPr>
          <w:sz w:val="28"/>
          <w:szCs w:val="28"/>
        </w:rPr>
        <w:t>817 F.2d 108</w:t>
      </w:r>
      <w:r w:rsidR="002A49F2">
        <w:rPr>
          <w:sz w:val="28"/>
          <w:szCs w:val="28"/>
        </w:rPr>
        <w:t xml:space="preserve"> </w:t>
      </w:r>
      <w:r>
        <w:rPr>
          <w:sz w:val="28"/>
          <w:szCs w:val="28"/>
        </w:rPr>
        <w:t>(D.C. Cir. 1987)</w:t>
      </w:r>
      <w:r w:rsidR="002A49F2">
        <w:rPr>
          <w:sz w:val="28"/>
          <w:szCs w:val="28"/>
        </w:rPr>
        <w:tab/>
      </w:r>
      <w:r w:rsidR="002151DE">
        <w:rPr>
          <w:sz w:val="28"/>
          <w:szCs w:val="28"/>
        </w:rPr>
        <w:t>12</w:t>
      </w:r>
    </w:p>
    <w:p w:rsidR="00B4014E" w:rsidP="002151DE" w14:paraId="11FFF0C5" w14:textId="77777777">
      <w:pPr>
        <w:tabs>
          <w:tab w:val="right" w:leader="dot" w:pos="864"/>
          <w:tab w:val="left" w:leader="dot" w:pos="9000"/>
        </w:tabs>
        <w:spacing w:line="240" w:lineRule="auto"/>
        <w:rPr>
          <w:sz w:val="28"/>
          <w:szCs w:val="28"/>
        </w:rPr>
      </w:pPr>
      <w:r>
        <w:rPr>
          <w:i/>
          <w:iCs/>
          <w:sz w:val="28"/>
          <w:szCs w:val="28"/>
        </w:rPr>
        <w:t>Chevron U.S.A., Inc. v. Nat. Res. Def. Council, Inc.</w:t>
      </w:r>
      <w:r>
        <w:rPr>
          <w:sz w:val="28"/>
          <w:szCs w:val="28"/>
        </w:rPr>
        <w:t xml:space="preserve">, </w:t>
      </w:r>
    </w:p>
    <w:p w:rsidR="004B794D" w:rsidP="00677C89" w14:paraId="7AE945F2" w14:textId="609E864C">
      <w:pPr>
        <w:tabs>
          <w:tab w:val="right" w:leader="dot" w:pos="864"/>
          <w:tab w:val="left" w:leader="dot" w:pos="9180"/>
        </w:tabs>
        <w:spacing w:after="240" w:line="240" w:lineRule="auto"/>
        <w:rPr>
          <w:i/>
          <w:iCs/>
          <w:sz w:val="28"/>
          <w:szCs w:val="28"/>
        </w:rPr>
      </w:pPr>
      <w:r>
        <w:rPr>
          <w:sz w:val="28"/>
          <w:szCs w:val="28"/>
        </w:rPr>
        <w:t xml:space="preserve">          </w:t>
      </w:r>
      <w:r>
        <w:rPr>
          <w:sz w:val="28"/>
          <w:szCs w:val="28"/>
        </w:rPr>
        <w:t>467 U.S. 837 (1984)</w:t>
      </w:r>
      <w:r w:rsidR="002A49F2">
        <w:rPr>
          <w:sz w:val="28"/>
          <w:szCs w:val="28"/>
        </w:rPr>
        <w:tab/>
      </w:r>
      <w:r>
        <w:rPr>
          <w:sz w:val="28"/>
          <w:szCs w:val="28"/>
        </w:rPr>
        <w:t>4</w:t>
      </w:r>
    </w:p>
    <w:p w:rsidR="00B4014E" w:rsidP="002151DE" w14:paraId="4F164989" w14:textId="77777777">
      <w:pPr>
        <w:tabs>
          <w:tab w:val="right" w:leader="dot" w:pos="864"/>
          <w:tab w:val="left" w:leader="dot" w:pos="9000"/>
        </w:tabs>
        <w:spacing w:line="240" w:lineRule="auto"/>
        <w:rPr>
          <w:sz w:val="28"/>
          <w:szCs w:val="28"/>
        </w:rPr>
      </w:pPr>
      <w:r w:rsidRPr="00F61063">
        <w:rPr>
          <w:i/>
          <w:iCs/>
          <w:sz w:val="28"/>
          <w:szCs w:val="28"/>
        </w:rPr>
        <w:t>Citizens to Preserve Overton Park, Inc. v. Volpe</w:t>
      </w:r>
      <w:r w:rsidRPr="00F61063">
        <w:rPr>
          <w:sz w:val="28"/>
          <w:szCs w:val="28"/>
        </w:rPr>
        <w:t xml:space="preserve">, </w:t>
      </w:r>
    </w:p>
    <w:p w:rsidR="00B03C54" w:rsidP="002151DE" w14:paraId="7F9B7E5C" w14:textId="21ED1827">
      <w:pPr>
        <w:tabs>
          <w:tab w:val="right" w:leader="dot" w:pos="864"/>
          <w:tab w:val="left" w:leader="dot" w:pos="8640"/>
        </w:tabs>
        <w:spacing w:after="240" w:line="240" w:lineRule="auto"/>
        <w:rPr>
          <w:i/>
          <w:iCs/>
          <w:sz w:val="28"/>
          <w:szCs w:val="28"/>
        </w:rPr>
      </w:pPr>
      <w:r>
        <w:rPr>
          <w:sz w:val="28"/>
          <w:szCs w:val="28"/>
        </w:rPr>
        <w:t xml:space="preserve">          </w:t>
      </w:r>
      <w:r w:rsidRPr="00F61063">
        <w:rPr>
          <w:sz w:val="28"/>
          <w:szCs w:val="28"/>
        </w:rPr>
        <w:t>401 U.S. 402 (1971)</w:t>
      </w:r>
      <w:r w:rsidR="002A49F2">
        <w:rPr>
          <w:sz w:val="28"/>
          <w:szCs w:val="28"/>
        </w:rPr>
        <w:tab/>
      </w:r>
      <w:r w:rsidR="002151DE">
        <w:rPr>
          <w:sz w:val="28"/>
          <w:szCs w:val="28"/>
        </w:rPr>
        <w:t>12, 16</w:t>
      </w:r>
    </w:p>
    <w:p w:rsidR="00680AEC" w:rsidP="002151DE" w14:paraId="1ADA9854" w14:textId="74188FA5">
      <w:pPr>
        <w:tabs>
          <w:tab w:val="right" w:leader="dot" w:pos="864"/>
          <w:tab w:val="left" w:leader="dot" w:pos="9000"/>
        </w:tabs>
        <w:spacing w:line="240" w:lineRule="auto"/>
        <w:rPr>
          <w:sz w:val="28"/>
          <w:szCs w:val="28"/>
        </w:rPr>
      </w:pPr>
      <w:r>
        <w:rPr>
          <w:i/>
          <w:iCs/>
          <w:sz w:val="28"/>
          <w:szCs w:val="28"/>
        </w:rPr>
        <w:t>Coca-Cola Co</w:t>
      </w:r>
      <w:r w:rsidR="00553CFF">
        <w:rPr>
          <w:i/>
          <w:iCs/>
          <w:sz w:val="28"/>
          <w:szCs w:val="28"/>
        </w:rPr>
        <w:t>.</w:t>
      </w:r>
      <w:r>
        <w:rPr>
          <w:i/>
          <w:iCs/>
          <w:sz w:val="28"/>
          <w:szCs w:val="28"/>
        </w:rPr>
        <w:t xml:space="preserve"> </w:t>
      </w:r>
      <w:r w:rsidR="00553CFF">
        <w:rPr>
          <w:i/>
          <w:iCs/>
          <w:sz w:val="28"/>
          <w:szCs w:val="28"/>
        </w:rPr>
        <w:t>&amp;</w:t>
      </w:r>
      <w:r>
        <w:rPr>
          <w:i/>
          <w:iCs/>
          <w:sz w:val="28"/>
          <w:szCs w:val="28"/>
        </w:rPr>
        <w:t xml:space="preserve"> Subsidiaries v. Commissioner</w:t>
      </w:r>
      <w:r>
        <w:rPr>
          <w:sz w:val="28"/>
          <w:szCs w:val="28"/>
        </w:rPr>
        <w:t xml:space="preserve">, </w:t>
      </w:r>
    </w:p>
    <w:p w:rsidR="00EA6D87" w:rsidP="00677C89" w14:paraId="6F53DE08" w14:textId="2BCCB781">
      <w:pPr>
        <w:tabs>
          <w:tab w:val="right" w:leader="dot" w:pos="864"/>
          <w:tab w:val="left" w:leader="dot" w:pos="9180"/>
        </w:tabs>
        <w:spacing w:after="240" w:line="240" w:lineRule="auto"/>
        <w:rPr>
          <w:i/>
          <w:iCs/>
          <w:sz w:val="28"/>
          <w:szCs w:val="28"/>
        </w:rPr>
      </w:pPr>
      <w:r>
        <w:rPr>
          <w:sz w:val="28"/>
          <w:szCs w:val="28"/>
        </w:rPr>
        <w:t xml:space="preserve">          </w:t>
      </w:r>
      <w:r>
        <w:rPr>
          <w:sz w:val="28"/>
          <w:szCs w:val="28"/>
        </w:rPr>
        <w:t>T.C. Memo. 2023-135, 2023 WL 7410872 (Nov. 8, 2023)</w:t>
      </w:r>
      <w:r>
        <w:rPr>
          <w:sz w:val="28"/>
          <w:szCs w:val="28"/>
        </w:rPr>
        <w:tab/>
      </w:r>
      <w:r w:rsidR="002151DE">
        <w:rPr>
          <w:sz w:val="28"/>
          <w:szCs w:val="28"/>
        </w:rPr>
        <w:t>9</w:t>
      </w:r>
    </w:p>
    <w:p w:rsidR="00680AEC" w:rsidP="002151DE" w14:paraId="549AD913" w14:textId="77777777">
      <w:pPr>
        <w:tabs>
          <w:tab w:val="right" w:leader="dot" w:pos="864"/>
          <w:tab w:val="left" w:leader="dot" w:pos="9000"/>
        </w:tabs>
        <w:spacing w:line="240" w:lineRule="auto"/>
        <w:rPr>
          <w:sz w:val="28"/>
          <w:szCs w:val="28"/>
        </w:rPr>
      </w:pPr>
      <w:r w:rsidRPr="00FC0734">
        <w:rPr>
          <w:i/>
          <w:iCs/>
          <w:sz w:val="28"/>
          <w:szCs w:val="28"/>
        </w:rPr>
        <w:t>Commissioner v. First Security Bank of Utah, N.A.</w:t>
      </w:r>
      <w:r w:rsidRPr="0059293F">
        <w:rPr>
          <w:sz w:val="28"/>
          <w:szCs w:val="28"/>
        </w:rPr>
        <w:t xml:space="preserve">, </w:t>
      </w:r>
    </w:p>
    <w:p w:rsidR="004B794D" w:rsidP="00677C89" w14:paraId="1A3977BB" w14:textId="49CA0756">
      <w:pPr>
        <w:tabs>
          <w:tab w:val="right" w:leader="dot" w:pos="864"/>
          <w:tab w:val="left" w:leader="dot" w:pos="8730"/>
        </w:tabs>
        <w:spacing w:after="240" w:line="240" w:lineRule="auto"/>
        <w:rPr>
          <w:i/>
          <w:iCs/>
          <w:sz w:val="28"/>
          <w:szCs w:val="28"/>
        </w:rPr>
      </w:pPr>
      <w:r>
        <w:rPr>
          <w:sz w:val="28"/>
          <w:szCs w:val="28"/>
        </w:rPr>
        <w:t xml:space="preserve">         </w:t>
      </w:r>
      <w:r w:rsidRPr="0059293F">
        <w:rPr>
          <w:sz w:val="28"/>
          <w:szCs w:val="28"/>
        </w:rPr>
        <w:t>403 U.S. 394</w:t>
      </w:r>
      <w:r w:rsidR="002A49F2">
        <w:rPr>
          <w:sz w:val="28"/>
          <w:szCs w:val="28"/>
        </w:rPr>
        <w:t xml:space="preserve"> </w:t>
      </w:r>
      <w:r w:rsidRPr="0059293F">
        <w:rPr>
          <w:sz w:val="28"/>
          <w:szCs w:val="28"/>
        </w:rPr>
        <w:t>(1972)</w:t>
      </w:r>
      <w:r>
        <w:rPr>
          <w:sz w:val="28"/>
          <w:szCs w:val="28"/>
        </w:rPr>
        <w:tab/>
      </w:r>
      <w:r>
        <w:rPr>
          <w:sz w:val="28"/>
          <w:szCs w:val="28"/>
        </w:rPr>
        <w:t>4</w:t>
      </w:r>
      <w:r w:rsidR="00E02699">
        <w:rPr>
          <w:sz w:val="28"/>
          <w:szCs w:val="28"/>
        </w:rPr>
        <w:t>, 14</w:t>
      </w:r>
    </w:p>
    <w:p w:rsidR="006C3C4D" w:rsidP="002151DE" w14:paraId="3E8CB5B2" w14:textId="77777777">
      <w:pPr>
        <w:tabs>
          <w:tab w:val="right" w:leader="dot" w:pos="864"/>
          <w:tab w:val="left" w:leader="dot" w:pos="9000"/>
        </w:tabs>
        <w:spacing w:line="240" w:lineRule="auto"/>
        <w:rPr>
          <w:sz w:val="28"/>
          <w:szCs w:val="28"/>
        </w:rPr>
      </w:pPr>
      <w:r>
        <w:rPr>
          <w:i/>
          <w:iCs/>
          <w:sz w:val="28"/>
          <w:szCs w:val="28"/>
        </w:rPr>
        <w:t>Dodd v. United States</w:t>
      </w:r>
      <w:r>
        <w:rPr>
          <w:sz w:val="28"/>
          <w:szCs w:val="28"/>
        </w:rPr>
        <w:t xml:space="preserve">, </w:t>
      </w:r>
    </w:p>
    <w:p w:rsidR="006C3C4D" w:rsidP="002151DE" w14:paraId="3AAE1437" w14:textId="0D89281F">
      <w:pPr>
        <w:tabs>
          <w:tab w:val="right" w:leader="dot" w:pos="864"/>
          <w:tab w:val="left" w:leader="dot" w:pos="9000"/>
        </w:tabs>
        <w:spacing w:line="240" w:lineRule="auto"/>
        <w:rPr>
          <w:i/>
          <w:iCs/>
          <w:sz w:val="28"/>
          <w:szCs w:val="28"/>
        </w:rPr>
      </w:pPr>
      <w:r>
        <w:rPr>
          <w:sz w:val="28"/>
          <w:szCs w:val="28"/>
        </w:rPr>
        <w:t xml:space="preserve">          545 U.S. 353 (2005)</w:t>
      </w:r>
      <w:r>
        <w:rPr>
          <w:sz w:val="28"/>
          <w:szCs w:val="28"/>
        </w:rPr>
        <w:tab/>
        <w:t>10</w:t>
      </w:r>
    </w:p>
    <w:p w:rsidR="006C3C4D" w:rsidP="002151DE" w14:paraId="1316A27A" w14:textId="77777777">
      <w:pPr>
        <w:tabs>
          <w:tab w:val="right" w:leader="dot" w:pos="864"/>
          <w:tab w:val="left" w:leader="dot" w:pos="9000"/>
        </w:tabs>
        <w:spacing w:line="240" w:lineRule="auto"/>
        <w:rPr>
          <w:i/>
          <w:iCs/>
          <w:sz w:val="28"/>
          <w:szCs w:val="28"/>
        </w:rPr>
      </w:pPr>
    </w:p>
    <w:p w:rsidR="00680AEC" w:rsidP="002151DE" w14:paraId="6A0421DA" w14:textId="445637F9">
      <w:pPr>
        <w:tabs>
          <w:tab w:val="right" w:leader="dot" w:pos="864"/>
          <w:tab w:val="left" w:leader="dot" w:pos="9000"/>
        </w:tabs>
        <w:spacing w:line="240" w:lineRule="auto"/>
        <w:rPr>
          <w:sz w:val="28"/>
          <w:szCs w:val="28"/>
        </w:rPr>
      </w:pPr>
      <w:r w:rsidRPr="00FC0734">
        <w:rPr>
          <w:i/>
          <w:iCs/>
          <w:sz w:val="28"/>
          <w:szCs w:val="28"/>
        </w:rPr>
        <w:t>Epic Sys. Corp. v. Lewis</w:t>
      </w:r>
      <w:r w:rsidRPr="0059293F">
        <w:rPr>
          <w:sz w:val="28"/>
          <w:szCs w:val="28"/>
        </w:rPr>
        <w:t xml:space="preserve">, </w:t>
      </w:r>
    </w:p>
    <w:p w:rsidR="00CA2AC9" w:rsidP="00677C89" w14:paraId="60335721" w14:textId="7187178A">
      <w:pPr>
        <w:tabs>
          <w:tab w:val="right" w:leader="dot" w:pos="864"/>
          <w:tab w:val="left" w:leader="dot" w:pos="9180"/>
        </w:tabs>
        <w:spacing w:after="240" w:line="240" w:lineRule="auto"/>
        <w:rPr>
          <w:i/>
          <w:iCs/>
          <w:sz w:val="28"/>
          <w:szCs w:val="28"/>
        </w:rPr>
      </w:pPr>
      <w:r>
        <w:rPr>
          <w:sz w:val="28"/>
          <w:szCs w:val="28"/>
        </w:rPr>
        <w:t xml:space="preserve">          </w:t>
      </w:r>
      <w:r w:rsidR="00053E27">
        <w:rPr>
          <w:sz w:val="28"/>
          <w:szCs w:val="28"/>
        </w:rPr>
        <w:t xml:space="preserve">584 U.S. 497 </w:t>
      </w:r>
      <w:r w:rsidRPr="0059293F">
        <w:rPr>
          <w:sz w:val="28"/>
          <w:szCs w:val="28"/>
        </w:rPr>
        <w:t>(2018)</w:t>
      </w:r>
      <w:r>
        <w:rPr>
          <w:sz w:val="28"/>
          <w:szCs w:val="28"/>
        </w:rPr>
        <w:tab/>
      </w:r>
      <w:r>
        <w:rPr>
          <w:sz w:val="28"/>
          <w:szCs w:val="28"/>
        </w:rPr>
        <w:t>3</w:t>
      </w:r>
    </w:p>
    <w:p w:rsidR="00680AEC" w:rsidP="002151DE" w14:paraId="256EDF41" w14:textId="77777777">
      <w:pPr>
        <w:tabs>
          <w:tab w:val="right" w:leader="dot" w:pos="864"/>
          <w:tab w:val="left" w:leader="dot" w:pos="9000"/>
        </w:tabs>
        <w:spacing w:line="240" w:lineRule="auto"/>
        <w:rPr>
          <w:sz w:val="28"/>
          <w:szCs w:val="28"/>
        </w:rPr>
      </w:pPr>
      <w:r>
        <w:rPr>
          <w:i/>
          <w:iCs/>
          <w:sz w:val="28"/>
          <w:szCs w:val="28"/>
        </w:rPr>
        <w:t>Fed. Commc’ns Comm’n v. Fox Television Stations, Inc.</w:t>
      </w:r>
      <w:r>
        <w:rPr>
          <w:sz w:val="28"/>
          <w:szCs w:val="28"/>
        </w:rPr>
        <w:t xml:space="preserve">, </w:t>
      </w:r>
    </w:p>
    <w:p w:rsidR="004B794D" w:rsidP="00677C89" w14:paraId="2A8F2F5D" w14:textId="05544B30">
      <w:pPr>
        <w:tabs>
          <w:tab w:val="right" w:leader="dot" w:pos="864"/>
          <w:tab w:val="left" w:leader="dot" w:pos="9180"/>
        </w:tabs>
        <w:spacing w:after="240" w:line="240" w:lineRule="auto"/>
        <w:rPr>
          <w:i/>
          <w:iCs/>
          <w:sz w:val="28"/>
          <w:szCs w:val="28"/>
        </w:rPr>
      </w:pPr>
      <w:r>
        <w:rPr>
          <w:sz w:val="28"/>
          <w:szCs w:val="28"/>
        </w:rPr>
        <w:t xml:space="preserve">         </w:t>
      </w:r>
      <w:r>
        <w:rPr>
          <w:sz w:val="28"/>
          <w:szCs w:val="28"/>
        </w:rPr>
        <w:t>556 U.S. 502</w:t>
      </w:r>
      <w:r w:rsidR="002A49F2">
        <w:rPr>
          <w:sz w:val="28"/>
          <w:szCs w:val="28"/>
        </w:rPr>
        <w:t xml:space="preserve"> </w:t>
      </w:r>
      <w:r>
        <w:rPr>
          <w:sz w:val="28"/>
          <w:szCs w:val="28"/>
        </w:rPr>
        <w:t>(2009)</w:t>
      </w:r>
      <w:r>
        <w:rPr>
          <w:sz w:val="28"/>
          <w:szCs w:val="28"/>
        </w:rPr>
        <w:tab/>
      </w:r>
      <w:r>
        <w:rPr>
          <w:sz w:val="28"/>
          <w:szCs w:val="28"/>
        </w:rPr>
        <w:t>5</w:t>
      </w:r>
    </w:p>
    <w:p w:rsidR="00680AEC" w:rsidP="002151DE" w14:paraId="682E96B2" w14:textId="77777777">
      <w:pPr>
        <w:tabs>
          <w:tab w:val="right" w:leader="dot" w:pos="864"/>
          <w:tab w:val="left" w:leader="dot" w:pos="9000"/>
        </w:tabs>
        <w:spacing w:line="240" w:lineRule="auto"/>
        <w:rPr>
          <w:sz w:val="28"/>
          <w:szCs w:val="28"/>
        </w:rPr>
      </w:pPr>
      <w:r>
        <w:rPr>
          <w:i/>
          <w:iCs/>
          <w:sz w:val="28"/>
          <w:szCs w:val="28"/>
        </w:rPr>
        <w:t>Good Fortune Shipping SA v. Commissioner</w:t>
      </w:r>
      <w:r>
        <w:rPr>
          <w:sz w:val="28"/>
          <w:szCs w:val="28"/>
        </w:rPr>
        <w:t xml:space="preserve">, </w:t>
      </w:r>
    </w:p>
    <w:p w:rsidR="008A1215" w:rsidP="001721CC" w14:paraId="03917139" w14:textId="7618BEF0">
      <w:pPr>
        <w:tabs>
          <w:tab w:val="right" w:leader="dot" w:pos="864"/>
          <w:tab w:val="left" w:leader="dot" w:pos="8730"/>
        </w:tabs>
        <w:spacing w:after="240" w:line="240" w:lineRule="auto"/>
        <w:rPr>
          <w:i/>
          <w:iCs/>
          <w:sz w:val="28"/>
          <w:szCs w:val="28"/>
        </w:rPr>
      </w:pPr>
      <w:r>
        <w:rPr>
          <w:sz w:val="28"/>
          <w:szCs w:val="28"/>
        </w:rPr>
        <w:t xml:space="preserve">          </w:t>
      </w:r>
      <w:r>
        <w:rPr>
          <w:sz w:val="28"/>
          <w:szCs w:val="28"/>
        </w:rPr>
        <w:t>897 F.3d 256</w:t>
      </w:r>
      <w:r w:rsidR="002A49F2">
        <w:rPr>
          <w:sz w:val="28"/>
          <w:szCs w:val="28"/>
        </w:rPr>
        <w:t xml:space="preserve"> </w:t>
      </w:r>
      <w:r>
        <w:rPr>
          <w:sz w:val="28"/>
          <w:szCs w:val="28"/>
        </w:rPr>
        <w:t>(D.C. Cir. 2018)</w:t>
      </w:r>
      <w:r w:rsidR="00C354DE">
        <w:rPr>
          <w:sz w:val="28"/>
          <w:szCs w:val="28"/>
        </w:rPr>
        <w:tab/>
      </w:r>
      <w:r>
        <w:rPr>
          <w:sz w:val="28"/>
          <w:szCs w:val="28"/>
        </w:rPr>
        <w:t>5</w:t>
      </w:r>
      <w:r w:rsidR="00B03C54">
        <w:rPr>
          <w:sz w:val="28"/>
          <w:szCs w:val="28"/>
        </w:rPr>
        <w:t>, 11</w:t>
      </w:r>
    </w:p>
    <w:p w:rsidR="00680AEC" w:rsidP="002151DE" w14:paraId="751B7338" w14:textId="77777777">
      <w:pPr>
        <w:tabs>
          <w:tab w:val="right" w:leader="dot" w:pos="864"/>
          <w:tab w:val="left" w:leader="dot" w:pos="9000"/>
        </w:tabs>
        <w:spacing w:line="240" w:lineRule="auto"/>
        <w:rPr>
          <w:sz w:val="28"/>
          <w:szCs w:val="28"/>
        </w:rPr>
      </w:pPr>
      <w:r>
        <w:rPr>
          <w:i/>
          <w:iCs/>
          <w:sz w:val="28"/>
          <w:szCs w:val="28"/>
        </w:rPr>
        <w:t>Hussian v. Madigan</w:t>
      </w:r>
      <w:r>
        <w:rPr>
          <w:sz w:val="28"/>
          <w:szCs w:val="28"/>
        </w:rPr>
        <w:t xml:space="preserve">, </w:t>
      </w:r>
    </w:p>
    <w:p w:rsidR="00B4014E" w:rsidRPr="002151DE" w:rsidP="002151DE" w14:paraId="27F72639" w14:textId="2E7411CA">
      <w:pPr>
        <w:tabs>
          <w:tab w:val="right" w:leader="dot" w:pos="864"/>
          <w:tab w:val="left" w:leader="dot" w:pos="8640"/>
        </w:tabs>
        <w:spacing w:after="240" w:line="240" w:lineRule="auto"/>
        <w:rPr>
          <w:sz w:val="28"/>
          <w:szCs w:val="28"/>
        </w:rPr>
      </w:pPr>
      <w:r>
        <w:rPr>
          <w:sz w:val="28"/>
          <w:szCs w:val="28"/>
        </w:rPr>
        <w:t xml:space="preserve">          </w:t>
      </w:r>
      <w:r>
        <w:rPr>
          <w:sz w:val="28"/>
          <w:szCs w:val="28"/>
        </w:rPr>
        <w:t>950 F.2d 1546</w:t>
      </w:r>
      <w:r w:rsidR="002A49F2">
        <w:rPr>
          <w:sz w:val="28"/>
          <w:szCs w:val="28"/>
        </w:rPr>
        <w:t xml:space="preserve"> </w:t>
      </w:r>
      <w:r>
        <w:rPr>
          <w:sz w:val="28"/>
          <w:szCs w:val="28"/>
        </w:rPr>
        <w:t>(11th Cir. 1992)</w:t>
      </w:r>
      <w:r w:rsidR="00C354DE">
        <w:rPr>
          <w:i/>
          <w:iCs/>
          <w:sz w:val="28"/>
          <w:szCs w:val="28"/>
        </w:rPr>
        <w:tab/>
      </w:r>
      <w:r w:rsidR="002151DE">
        <w:rPr>
          <w:sz w:val="28"/>
          <w:szCs w:val="28"/>
        </w:rPr>
        <w:t>12, 17</w:t>
      </w:r>
    </w:p>
    <w:p w:rsidR="00680AEC" w:rsidP="002151DE" w14:paraId="57A2830F" w14:textId="77777777">
      <w:pPr>
        <w:tabs>
          <w:tab w:val="right" w:leader="dot" w:pos="864"/>
          <w:tab w:val="left" w:leader="dot" w:pos="9000"/>
        </w:tabs>
        <w:spacing w:line="240" w:lineRule="auto"/>
        <w:rPr>
          <w:sz w:val="28"/>
          <w:szCs w:val="28"/>
        </w:rPr>
      </w:pPr>
      <w:r>
        <w:rPr>
          <w:i/>
          <w:iCs/>
          <w:sz w:val="28"/>
          <w:szCs w:val="28"/>
        </w:rPr>
        <w:t>Motor Veh. Mfrs. Ass’n v. State Farm Mut. Auto. Ins. Co.</w:t>
      </w:r>
      <w:r>
        <w:rPr>
          <w:sz w:val="28"/>
          <w:szCs w:val="28"/>
        </w:rPr>
        <w:t>,</w:t>
      </w:r>
    </w:p>
    <w:p w:rsidR="004B794D" w:rsidP="00E02699" w14:paraId="29D90D35" w14:textId="7CC24098">
      <w:pPr>
        <w:tabs>
          <w:tab w:val="right" w:leader="dot" w:pos="864"/>
          <w:tab w:val="left" w:leader="dot" w:pos="8370"/>
        </w:tabs>
        <w:spacing w:after="240" w:line="240" w:lineRule="auto"/>
        <w:rPr>
          <w:i/>
          <w:iCs/>
          <w:sz w:val="28"/>
          <w:szCs w:val="28"/>
        </w:rPr>
      </w:pPr>
      <w:r>
        <w:rPr>
          <w:sz w:val="28"/>
          <w:szCs w:val="28"/>
        </w:rPr>
        <w:t xml:space="preserve">          </w:t>
      </w:r>
      <w:r>
        <w:rPr>
          <w:sz w:val="28"/>
          <w:szCs w:val="28"/>
        </w:rPr>
        <w:t>463 U.S. 29</w:t>
      </w:r>
      <w:r w:rsidR="002A49F2">
        <w:rPr>
          <w:sz w:val="28"/>
          <w:szCs w:val="28"/>
        </w:rPr>
        <w:t xml:space="preserve"> </w:t>
      </w:r>
      <w:r>
        <w:rPr>
          <w:sz w:val="28"/>
          <w:szCs w:val="28"/>
        </w:rPr>
        <w:t>(1983)</w:t>
      </w:r>
      <w:r w:rsidR="00C354DE">
        <w:rPr>
          <w:sz w:val="28"/>
          <w:szCs w:val="28"/>
        </w:rPr>
        <w:tab/>
      </w:r>
      <w:r>
        <w:rPr>
          <w:sz w:val="28"/>
          <w:szCs w:val="28"/>
        </w:rPr>
        <w:t>5</w:t>
      </w:r>
      <w:r w:rsidR="00CB1386">
        <w:rPr>
          <w:sz w:val="28"/>
          <w:szCs w:val="28"/>
        </w:rPr>
        <w:t xml:space="preserve">, </w:t>
      </w:r>
      <w:r w:rsidR="00E02699">
        <w:rPr>
          <w:sz w:val="28"/>
          <w:szCs w:val="28"/>
        </w:rPr>
        <w:t xml:space="preserve">12, </w:t>
      </w:r>
      <w:r w:rsidR="00CB1386">
        <w:rPr>
          <w:sz w:val="28"/>
          <w:szCs w:val="28"/>
        </w:rPr>
        <w:t>16</w:t>
      </w:r>
    </w:p>
    <w:p w:rsidR="00C354DE" w:rsidP="002151DE" w14:paraId="3AD61D33" w14:textId="77777777">
      <w:pPr>
        <w:tabs>
          <w:tab w:val="right" w:leader="dot" w:pos="864"/>
          <w:tab w:val="left" w:leader="dot" w:pos="9000"/>
        </w:tabs>
        <w:spacing w:line="240" w:lineRule="auto"/>
        <w:rPr>
          <w:i/>
          <w:iCs/>
          <w:sz w:val="28"/>
          <w:szCs w:val="28"/>
        </w:rPr>
      </w:pPr>
      <w:r>
        <w:rPr>
          <w:i/>
          <w:iCs/>
          <w:sz w:val="28"/>
          <w:szCs w:val="28"/>
        </w:rPr>
        <w:t xml:space="preserve">Owner-Operator Independent Drivers Ass’n, Inc. v. Fed. Motor </w:t>
      </w:r>
    </w:p>
    <w:p w:rsidR="00680AEC" w:rsidRPr="00C354DE" w:rsidP="002151DE" w14:paraId="37B12BA6" w14:textId="207A74BB">
      <w:pPr>
        <w:tabs>
          <w:tab w:val="right" w:leader="dot" w:pos="864"/>
          <w:tab w:val="left" w:leader="dot" w:pos="9000"/>
        </w:tabs>
        <w:spacing w:line="240" w:lineRule="auto"/>
        <w:rPr>
          <w:i/>
          <w:iCs/>
          <w:sz w:val="28"/>
          <w:szCs w:val="28"/>
        </w:rPr>
      </w:pPr>
      <w:r>
        <w:rPr>
          <w:i/>
          <w:iCs/>
          <w:sz w:val="28"/>
          <w:szCs w:val="28"/>
        </w:rPr>
        <w:t xml:space="preserve">          </w:t>
      </w:r>
      <w:r w:rsidR="00B03C54">
        <w:rPr>
          <w:i/>
          <w:iCs/>
          <w:sz w:val="28"/>
          <w:szCs w:val="28"/>
        </w:rPr>
        <w:t>Carrier Safety Admin.</w:t>
      </w:r>
      <w:r w:rsidR="00B03C54">
        <w:rPr>
          <w:sz w:val="28"/>
          <w:szCs w:val="28"/>
        </w:rPr>
        <w:t xml:space="preserve">, </w:t>
      </w:r>
    </w:p>
    <w:p w:rsidR="00B03C54" w:rsidRPr="00680AEC" w:rsidP="002151DE" w14:paraId="4E68CF83" w14:textId="1666AADB">
      <w:pPr>
        <w:tabs>
          <w:tab w:val="right" w:leader="dot" w:pos="864"/>
          <w:tab w:val="left" w:leader="dot" w:pos="9000"/>
        </w:tabs>
        <w:spacing w:after="240" w:line="240" w:lineRule="auto"/>
        <w:rPr>
          <w:sz w:val="28"/>
          <w:szCs w:val="28"/>
        </w:rPr>
      </w:pPr>
      <w:r>
        <w:rPr>
          <w:sz w:val="28"/>
          <w:szCs w:val="28"/>
        </w:rPr>
        <w:t xml:space="preserve">          </w:t>
      </w:r>
      <w:r>
        <w:rPr>
          <w:sz w:val="28"/>
          <w:szCs w:val="28"/>
        </w:rPr>
        <w:t>494 F.3d 188</w:t>
      </w:r>
      <w:r w:rsidR="002A49F2">
        <w:rPr>
          <w:sz w:val="28"/>
          <w:szCs w:val="28"/>
        </w:rPr>
        <w:t xml:space="preserve"> </w:t>
      </w:r>
      <w:r>
        <w:rPr>
          <w:sz w:val="28"/>
          <w:szCs w:val="28"/>
        </w:rPr>
        <w:t>(D.C. Cir. 2007)</w:t>
      </w:r>
      <w:r w:rsidR="00C354DE">
        <w:rPr>
          <w:sz w:val="28"/>
          <w:szCs w:val="28"/>
        </w:rPr>
        <w:tab/>
      </w:r>
      <w:r w:rsidR="002151DE">
        <w:rPr>
          <w:sz w:val="28"/>
          <w:szCs w:val="28"/>
        </w:rPr>
        <w:t>12</w:t>
      </w:r>
    </w:p>
    <w:p w:rsidR="00680AEC" w:rsidP="002151DE" w14:paraId="56A4F59C" w14:textId="77777777">
      <w:pPr>
        <w:tabs>
          <w:tab w:val="right" w:leader="dot" w:pos="864"/>
          <w:tab w:val="left" w:leader="dot" w:pos="9000"/>
        </w:tabs>
        <w:spacing w:line="240" w:lineRule="auto"/>
        <w:rPr>
          <w:sz w:val="28"/>
          <w:szCs w:val="28"/>
        </w:rPr>
      </w:pPr>
      <w:r w:rsidRPr="00FC0734">
        <w:rPr>
          <w:i/>
          <w:iCs/>
          <w:sz w:val="28"/>
          <w:szCs w:val="28"/>
        </w:rPr>
        <w:t>Pereira v. Sessions</w:t>
      </w:r>
      <w:r w:rsidRPr="0059293F">
        <w:rPr>
          <w:sz w:val="28"/>
          <w:szCs w:val="28"/>
        </w:rPr>
        <w:t xml:space="preserve">, </w:t>
      </w:r>
    </w:p>
    <w:p w:rsidR="00CA2AC9" w:rsidP="00677C89" w14:paraId="27F3FCF1" w14:textId="68CF68CA">
      <w:pPr>
        <w:tabs>
          <w:tab w:val="right" w:leader="dot" w:pos="864"/>
          <w:tab w:val="left" w:leader="dot" w:pos="9180"/>
        </w:tabs>
        <w:spacing w:after="240" w:line="240" w:lineRule="auto"/>
        <w:rPr>
          <w:sz w:val="28"/>
          <w:szCs w:val="28"/>
        </w:rPr>
      </w:pPr>
      <w:r>
        <w:rPr>
          <w:sz w:val="28"/>
          <w:szCs w:val="28"/>
        </w:rPr>
        <w:t xml:space="preserve">          </w:t>
      </w:r>
      <w:r w:rsidR="00053E27">
        <w:rPr>
          <w:sz w:val="28"/>
          <w:szCs w:val="28"/>
        </w:rPr>
        <w:t>585 U.S. 198</w:t>
      </w:r>
      <w:r w:rsidRPr="0059293F" w:rsidR="00053E27">
        <w:rPr>
          <w:sz w:val="28"/>
          <w:szCs w:val="28"/>
        </w:rPr>
        <w:t xml:space="preserve"> </w:t>
      </w:r>
      <w:r w:rsidRPr="0059293F">
        <w:rPr>
          <w:sz w:val="28"/>
          <w:szCs w:val="28"/>
        </w:rPr>
        <w:t>(2018)</w:t>
      </w:r>
      <w:r w:rsidR="00C354DE">
        <w:rPr>
          <w:sz w:val="28"/>
          <w:szCs w:val="28"/>
        </w:rPr>
        <w:tab/>
      </w:r>
      <w:r>
        <w:rPr>
          <w:sz w:val="28"/>
          <w:szCs w:val="28"/>
        </w:rPr>
        <w:t>3</w:t>
      </w:r>
    </w:p>
    <w:p w:rsidR="00E02699" w:rsidP="002151DE" w14:paraId="089A5D39" w14:textId="77777777">
      <w:pPr>
        <w:tabs>
          <w:tab w:val="right" w:leader="dot" w:pos="864"/>
          <w:tab w:val="left" w:leader="dot" w:pos="9000"/>
        </w:tabs>
        <w:spacing w:line="240" w:lineRule="auto"/>
        <w:rPr>
          <w:sz w:val="28"/>
          <w:szCs w:val="28"/>
        </w:rPr>
      </w:pPr>
      <w:r>
        <w:rPr>
          <w:i/>
          <w:iCs/>
          <w:sz w:val="28"/>
          <w:szCs w:val="28"/>
        </w:rPr>
        <w:t>Proctor &amp; Gamble v. Commissioner</w:t>
      </w:r>
      <w:r>
        <w:rPr>
          <w:sz w:val="28"/>
          <w:szCs w:val="28"/>
        </w:rPr>
        <w:t xml:space="preserve">, </w:t>
      </w:r>
    </w:p>
    <w:p w:rsidR="00E02699" w:rsidP="00E02699" w14:paraId="3F311840" w14:textId="009D9226">
      <w:pPr>
        <w:tabs>
          <w:tab w:val="right" w:leader="dot" w:pos="864"/>
          <w:tab w:val="left" w:leader="dot" w:pos="9000"/>
        </w:tabs>
        <w:rPr>
          <w:i/>
          <w:iCs/>
          <w:sz w:val="28"/>
          <w:szCs w:val="28"/>
        </w:rPr>
      </w:pPr>
      <w:r>
        <w:rPr>
          <w:sz w:val="28"/>
          <w:szCs w:val="28"/>
        </w:rPr>
        <w:t xml:space="preserve">          961 F.2d 1255 (6th Cir. 1992)</w:t>
      </w:r>
      <w:r>
        <w:rPr>
          <w:sz w:val="28"/>
          <w:szCs w:val="28"/>
        </w:rPr>
        <w:tab/>
        <w:t>14</w:t>
      </w:r>
    </w:p>
    <w:p w:rsidR="00680AEC" w:rsidP="002151DE" w14:paraId="76D45985" w14:textId="3948F6CE">
      <w:pPr>
        <w:tabs>
          <w:tab w:val="right" w:leader="dot" w:pos="864"/>
          <w:tab w:val="left" w:leader="dot" w:pos="9000"/>
        </w:tabs>
        <w:spacing w:line="240" w:lineRule="auto"/>
        <w:rPr>
          <w:sz w:val="28"/>
          <w:szCs w:val="28"/>
        </w:rPr>
      </w:pPr>
      <w:r w:rsidRPr="00F61063">
        <w:rPr>
          <w:i/>
          <w:iCs/>
          <w:sz w:val="28"/>
          <w:szCs w:val="28"/>
        </w:rPr>
        <w:t>Sierra Club v. Davies</w:t>
      </w:r>
      <w:r w:rsidRPr="00F61063">
        <w:rPr>
          <w:sz w:val="28"/>
          <w:szCs w:val="28"/>
        </w:rPr>
        <w:t xml:space="preserve">, </w:t>
      </w:r>
    </w:p>
    <w:p w:rsidR="00B03C54" w:rsidP="002151DE" w14:paraId="022F17E8" w14:textId="2CF370BE">
      <w:pPr>
        <w:tabs>
          <w:tab w:val="right" w:leader="dot" w:pos="864"/>
          <w:tab w:val="left" w:leader="dot" w:pos="9000"/>
        </w:tabs>
        <w:spacing w:after="240" w:line="240" w:lineRule="auto"/>
        <w:rPr>
          <w:i/>
          <w:iCs/>
          <w:sz w:val="28"/>
          <w:szCs w:val="28"/>
        </w:rPr>
      </w:pPr>
      <w:r>
        <w:rPr>
          <w:sz w:val="28"/>
          <w:szCs w:val="28"/>
        </w:rPr>
        <w:t xml:space="preserve">          </w:t>
      </w:r>
      <w:r w:rsidRPr="00F61063">
        <w:rPr>
          <w:sz w:val="28"/>
          <w:szCs w:val="28"/>
        </w:rPr>
        <w:t>955 F.2d 1188 (8th Cir. 1992)</w:t>
      </w:r>
      <w:r w:rsidR="00C354DE">
        <w:rPr>
          <w:sz w:val="28"/>
          <w:szCs w:val="28"/>
        </w:rPr>
        <w:tab/>
      </w:r>
      <w:r w:rsidR="002A49F2">
        <w:rPr>
          <w:sz w:val="28"/>
          <w:szCs w:val="28"/>
        </w:rPr>
        <w:t>12</w:t>
      </w:r>
    </w:p>
    <w:p w:rsidR="004B794D" w:rsidP="00C354DE" w14:paraId="10CC2849" w14:textId="7B6AF46C">
      <w:pPr>
        <w:tabs>
          <w:tab w:val="left" w:leader="dot" w:pos="9000"/>
        </w:tabs>
        <w:rPr>
          <w:b/>
          <w:bCs/>
          <w:sz w:val="28"/>
          <w:szCs w:val="28"/>
        </w:rPr>
      </w:pPr>
      <w:r>
        <w:rPr>
          <w:b/>
          <w:bCs/>
          <w:sz w:val="28"/>
          <w:szCs w:val="28"/>
        </w:rPr>
        <w:t>Statutes</w:t>
      </w:r>
    </w:p>
    <w:p w:rsidR="00CE02AE" w:rsidP="00C354DE" w14:paraId="29CECDB7" w14:textId="508FD987">
      <w:pPr>
        <w:tabs>
          <w:tab w:val="left" w:leader="dot" w:pos="9000"/>
        </w:tabs>
        <w:rPr>
          <w:sz w:val="28"/>
          <w:szCs w:val="28"/>
        </w:rPr>
      </w:pPr>
      <w:r w:rsidRPr="00F61063">
        <w:rPr>
          <w:sz w:val="28"/>
          <w:szCs w:val="28"/>
        </w:rPr>
        <w:t>5 U.S.C. § 706</w:t>
      </w:r>
      <w:r>
        <w:rPr>
          <w:sz w:val="28"/>
          <w:szCs w:val="28"/>
        </w:rPr>
        <w:tab/>
      </w:r>
      <w:r w:rsidR="002A49F2">
        <w:rPr>
          <w:sz w:val="28"/>
          <w:szCs w:val="28"/>
        </w:rPr>
        <w:t>11</w:t>
      </w:r>
    </w:p>
    <w:p w:rsidR="002A49F2" w:rsidP="00C354DE" w14:paraId="306C073E" w14:textId="79A9FC2D">
      <w:pPr>
        <w:tabs>
          <w:tab w:val="left" w:leader="dot" w:pos="9000"/>
        </w:tabs>
        <w:rPr>
          <w:sz w:val="28"/>
          <w:szCs w:val="28"/>
        </w:rPr>
      </w:pPr>
      <w:r>
        <w:rPr>
          <w:sz w:val="28"/>
          <w:szCs w:val="28"/>
        </w:rPr>
        <w:t>26 U.S.C. § 61</w:t>
      </w:r>
      <w:r>
        <w:rPr>
          <w:sz w:val="28"/>
          <w:szCs w:val="28"/>
        </w:rPr>
        <w:tab/>
        <w:t>10</w:t>
      </w:r>
    </w:p>
    <w:p w:rsidR="004B794D" w:rsidP="00960D18" w14:paraId="512FD563" w14:textId="5E66AF01">
      <w:pPr>
        <w:tabs>
          <w:tab w:val="left" w:leader="dot" w:pos="8460"/>
        </w:tabs>
        <w:rPr>
          <w:sz w:val="28"/>
          <w:szCs w:val="28"/>
        </w:rPr>
      </w:pPr>
      <w:r w:rsidRPr="0059293F">
        <w:rPr>
          <w:sz w:val="28"/>
          <w:szCs w:val="28"/>
        </w:rPr>
        <w:t>26 U.S.C. § 482</w:t>
      </w:r>
      <w:r w:rsidR="00CE02AE">
        <w:rPr>
          <w:sz w:val="28"/>
          <w:szCs w:val="28"/>
        </w:rPr>
        <w:tab/>
      </w:r>
      <w:r>
        <w:rPr>
          <w:sz w:val="28"/>
          <w:szCs w:val="28"/>
        </w:rPr>
        <w:t>3</w:t>
      </w:r>
      <w:r w:rsidR="002A49F2">
        <w:rPr>
          <w:sz w:val="28"/>
          <w:szCs w:val="28"/>
        </w:rPr>
        <w:t xml:space="preserve">, </w:t>
      </w:r>
      <w:r w:rsidR="00960D18">
        <w:rPr>
          <w:sz w:val="28"/>
          <w:szCs w:val="28"/>
        </w:rPr>
        <w:t xml:space="preserve">4, </w:t>
      </w:r>
      <w:r w:rsidR="002A49F2">
        <w:rPr>
          <w:sz w:val="28"/>
          <w:szCs w:val="28"/>
        </w:rPr>
        <w:t>10</w:t>
      </w:r>
    </w:p>
    <w:p w:rsidR="00B4014E" w:rsidP="00C354DE" w14:paraId="06F30B51" w14:textId="5CBBDD98">
      <w:pPr>
        <w:tabs>
          <w:tab w:val="left" w:leader="dot" w:pos="9000"/>
        </w:tabs>
        <w:rPr>
          <w:b/>
          <w:bCs/>
          <w:sz w:val="28"/>
          <w:szCs w:val="28"/>
        </w:rPr>
      </w:pPr>
      <w:r>
        <w:rPr>
          <w:b/>
          <w:bCs/>
          <w:sz w:val="28"/>
          <w:szCs w:val="28"/>
        </w:rPr>
        <w:t>Regulations</w:t>
      </w:r>
    </w:p>
    <w:p w:rsidR="00B4014E" w:rsidP="00C354DE" w14:paraId="2E310748" w14:textId="387CC9DB">
      <w:pPr>
        <w:tabs>
          <w:tab w:val="left" w:leader="dot" w:pos="9000"/>
        </w:tabs>
        <w:rPr>
          <w:b/>
          <w:bCs/>
          <w:sz w:val="28"/>
          <w:szCs w:val="28"/>
        </w:rPr>
      </w:pPr>
      <w:r>
        <w:rPr>
          <w:sz w:val="28"/>
          <w:szCs w:val="28"/>
        </w:rPr>
        <w:t>59 Fed. Reg. 34,971-01(1994)</w:t>
      </w:r>
      <w:r w:rsidR="00CE02AE">
        <w:rPr>
          <w:sz w:val="28"/>
          <w:szCs w:val="28"/>
        </w:rPr>
        <w:tab/>
      </w:r>
      <w:r w:rsidR="002A49F2">
        <w:rPr>
          <w:sz w:val="28"/>
          <w:szCs w:val="28"/>
        </w:rPr>
        <w:t>17</w:t>
      </w:r>
    </w:p>
    <w:p w:rsidR="004B794D" w:rsidP="00C354DE" w14:paraId="194E058B" w14:textId="52725350">
      <w:pPr>
        <w:tabs>
          <w:tab w:val="left" w:leader="dot" w:pos="9000"/>
        </w:tabs>
        <w:rPr>
          <w:b/>
          <w:bCs/>
          <w:sz w:val="28"/>
          <w:szCs w:val="28"/>
        </w:rPr>
      </w:pPr>
      <w:r>
        <w:rPr>
          <w:b/>
          <w:bCs/>
          <w:sz w:val="28"/>
          <w:szCs w:val="28"/>
        </w:rPr>
        <w:t>Rules</w:t>
      </w:r>
    </w:p>
    <w:p w:rsidR="004B794D" w:rsidP="00C354DE" w14:paraId="3F3A350C" w14:textId="314A15A6">
      <w:pPr>
        <w:tabs>
          <w:tab w:val="left" w:leader="dot" w:pos="9000"/>
        </w:tabs>
        <w:rPr>
          <w:sz w:val="28"/>
          <w:szCs w:val="28"/>
        </w:rPr>
      </w:pPr>
      <w:r w:rsidRPr="00923C5D">
        <w:rPr>
          <w:smallCaps/>
          <w:sz w:val="28"/>
          <w:szCs w:val="28"/>
        </w:rPr>
        <w:t>Fed. R. App. P</w:t>
      </w:r>
      <w:r>
        <w:rPr>
          <w:sz w:val="28"/>
          <w:szCs w:val="28"/>
        </w:rPr>
        <w:t>. 29(a)(2)</w:t>
      </w:r>
      <w:r w:rsidR="00CE02AE">
        <w:rPr>
          <w:sz w:val="28"/>
          <w:szCs w:val="28"/>
        </w:rPr>
        <w:tab/>
      </w:r>
      <w:r>
        <w:rPr>
          <w:sz w:val="28"/>
          <w:szCs w:val="28"/>
        </w:rPr>
        <w:t>v</w:t>
      </w:r>
      <w:r w:rsidR="00C23BFA">
        <w:rPr>
          <w:sz w:val="28"/>
          <w:szCs w:val="28"/>
        </w:rPr>
        <w:t>i</w:t>
      </w:r>
    </w:p>
    <w:p w:rsidR="008A1215" w:rsidP="00C354DE" w14:paraId="0D3BE2C8" w14:textId="0BB6E334">
      <w:pPr>
        <w:tabs>
          <w:tab w:val="left" w:leader="dot" w:pos="9000"/>
        </w:tabs>
        <w:rPr>
          <w:b/>
          <w:bCs/>
          <w:sz w:val="28"/>
          <w:szCs w:val="28"/>
        </w:rPr>
      </w:pPr>
      <w:r>
        <w:rPr>
          <w:b/>
          <w:bCs/>
          <w:sz w:val="28"/>
          <w:szCs w:val="28"/>
        </w:rPr>
        <w:t>Other Authorities</w:t>
      </w:r>
    </w:p>
    <w:p w:rsidR="00EA6D87" w:rsidP="00677C89" w14:paraId="03B7B46E" w14:textId="30914BF7">
      <w:pPr>
        <w:tabs>
          <w:tab w:val="left" w:leader="dot" w:pos="9180"/>
        </w:tabs>
        <w:spacing w:after="240" w:line="240" w:lineRule="auto"/>
        <w:ind w:left="720" w:hanging="720"/>
        <w:rPr>
          <w:i/>
          <w:iCs/>
          <w:sz w:val="28"/>
          <w:szCs w:val="28"/>
        </w:rPr>
      </w:pPr>
      <w:r>
        <w:rPr>
          <w:i/>
          <w:iCs/>
          <w:sz w:val="28"/>
          <w:szCs w:val="28"/>
        </w:rPr>
        <w:t>Agreements for Transfer of Tech. Payment of Royalty/Technical Fee to the Foreign Collaborators</w:t>
      </w:r>
      <w:r>
        <w:rPr>
          <w:sz w:val="28"/>
          <w:szCs w:val="28"/>
        </w:rPr>
        <w:t xml:space="preserve">, </w:t>
      </w:r>
      <w:r w:rsidRPr="00B720D7">
        <w:rPr>
          <w:smallCaps/>
          <w:sz w:val="28"/>
          <w:szCs w:val="28"/>
        </w:rPr>
        <w:t>State Bank of Pakistan</w:t>
      </w:r>
      <w:r>
        <w:rPr>
          <w:sz w:val="28"/>
          <w:szCs w:val="28"/>
        </w:rPr>
        <w:t>,</w:t>
      </w:r>
      <w:r>
        <w:rPr>
          <w:i/>
          <w:iCs/>
          <w:sz w:val="28"/>
          <w:szCs w:val="28"/>
        </w:rPr>
        <w:t xml:space="preserve">  </w:t>
      </w:r>
      <w:r w:rsidRPr="00B720D7">
        <w:rPr>
          <w:sz w:val="28"/>
          <w:szCs w:val="28"/>
        </w:rPr>
        <w:t>https://www.sbp.org.pk/epd/</w:t>
      </w:r>
      <w:r>
        <w:rPr>
          <w:sz w:val="28"/>
          <w:szCs w:val="28"/>
        </w:rPr>
        <w:t xml:space="preserve"> </w:t>
      </w:r>
      <w:r w:rsidRPr="00090FFF">
        <w:rPr>
          <w:sz w:val="28"/>
          <w:szCs w:val="28"/>
        </w:rPr>
        <w:t>1992/c101.htm</w:t>
      </w:r>
      <w:r>
        <w:rPr>
          <w:sz w:val="28"/>
          <w:szCs w:val="28"/>
        </w:rPr>
        <w:t>.</w:t>
      </w:r>
      <w:r w:rsidR="00CE02AE">
        <w:rPr>
          <w:sz w:val="28"/>
          <w:szCs w:val="28"/>
        </w:rPr>
        <w:tab/>
      </w:r>
      <w:r w:rsidR="002A49F2">
        <w:rPr>
          <w:sz w:val="28"/>
          <w:szCs w:val="28"/>
        </w:rPr>
        <w:t>7</w:t>
      </w:r>
    </w:p>
    <w:p w:rsidR="00B03C54" w:rsidP="00677C89" w14:paraId="3A80963F" w14:textId="3C2DD97B">
      <w:pPr>
        <w:tabs>
          <w:tab w:val="left" w:leader="dot" w:pos="9000"/>
        </w:tabs>
        <w:spacing w:after="240" w:line="240" w:lineRule="auto"/>
        <w:rPr>
          <w:i/>
          <w:iCs/>
          <w:sz w:val="28"/>
          <w:szCs w:val="28"/>
        </w:rPr>
      </w:pPr>
      <w:r w:rsidRPr="00CE02AE">
        <w:rPr>
          <w:smallCaps/>
          <w:sz w:val="28"/>
          <w:szCs w:val="28"/>
        </w:rPr>
        <w:t>Black’s Law Dictionary</w:t>
      </w:r>
      <w:r>
        <w:rPr>
          <w:sz w:val="28"/>
          <w:szCs w:val="28"/>
        </w:rPr>
        <w:t xml:space="preserve"> (11th ed. 2019)</w:t>
      </w:r>
      <w:r w:rsidR="00CE02AE">
        <w:rPr>
          <w:sz w:val="28"/>
          <w:szCs w:val="28"/>
        </w:rPr>
        <w:tab/>
      </w:r>
      <w:r w:rsidR="002A49F2">
        <w:rPr>
          <w:sz w:val="28"/>
          <w:szCs w:val="28"/>
        </w:rPr>
        <w:t>10</w:t>
      </w:r>
    </w:p>
    <w:p w:rsidR="00EA6D87" w:rsidP="00677C89" w14:paraId="5F08A738" w14:textId="0268B282">
      <w:pPr>
        <w:tabs>
          <w:tab w:val="left" w:leader="dot" w:pos="9180"/>
        </w:tabs>
        <w:spacing w:after="240" w:line="240" w:lineRule="auto"/>
        <w:ind w:left="720" w:hanging="720"/>
        <w:rPr>
          <w:i/>
          <w:iCs/>
          <w:sz w:val="28"/>
          <w:szCs w:val="28"/>
        </w:rPr>
      </w:pPr>
      <w:r>
        <w:rPr>
          <w:i/>
          <w:iCs/>
          <w:sz w:val="28"/>
          <w:szCs w:val="28"/>
        </w:rPr>
        <w:t>Technology Transfer Agreements</w:t>
      </w:r>
      <w:r>
        <w:rPr>
          <w:sz w:val="28"/>
          <w:szCs w:val="28"/>
        </w:rPr>
        <w:t xml:space="preserve">, </w:t>
      </w:r>
      <w:r w:rsidRPr="00B720D7">
        <w:rPr>
          <w:smallCaps/>
          <w:sz w:val="28"/>
          <w:szCs w:val="28"/>
        </w:rPr>
        <w:t>Ghana Inv</w:t>
      </w:r>
      <w:r>
        <w:rPr>
          <w:smallCaps/>
          <w:sz w:val="28"/>
          <w:szCs w:val="28"/>
        </w:rPr>
        <w:t>.</w:t>
      </w:r>
      <w:r w:rsidRPr="00B720D7">
        <w:rPr>
          <w:smallCaps/>
          <w:sz w:val="28"/>
          <w:szCs w:val="28"/>
        </w:rPr>
        <w:t xml:space="preserve"> Promotion Centre</w:t>
      </w:r>
      <w:r>
        <w:rPr>
          <w:sz w:val="28"/>
          <w:szCs w:val="28"/>
        </w:rPr>
        <w:t>,</w:t>
      </w:r>
      <w:r>
        <w:rPr>
          <w:i/>
          <w:iCs/>
          <w:sz w:val="28"/>
          <w:szCs w:val="28"/>
        </w:rPr>
        <w:t xml:space="preserve"> </w:t>
      </w:r>
      <w:r w:rsidRPr="00B720D7">
        <w:rPr>
          <w:sz w:val="28"/>
          <w:szCs w:val="28"/>
        </w:rPr>
        <w:t>https://www.gipc.gov.gh/</w:t>
      </w:r>
      <w:r>
        <w:rPr>
          <w:sz w:val="28"/>
          <w:szCs w:val="28"/>
        </w:rPr>
        <w:t xml:space="preserve"> </w:t>
      </w:r>
      <w:r w:rsidRPr="00EB0465">
        <w:rPr>
          <w:sz w:val="28"/>
          <w:szCs w:val="28"/>
        </w:rPr>
        <w:t>technology-transfer-agreements/</w:t>
      </w:r>
      <w:r w:rsidR="00CE02AE">
        <w:rPr>
          <w:sz w:val="28"/>
          <w:szCs w:val="28"/>
        </w:rPr>
        <w:tab/>
      </w:r>
      <w:r w:rsidR="003942E1">
        <w:rPr>
          <w:sz w:val="28"/>
          <w:szCs w:val="28"/>
        </w:rPr>
        <w:t>7</w:t>
      </w:r>
    </w:p>
    <w:p w:rsidR="008A1215" w:rsidP="00E62676" w14:paraId="0236F226" w14:textId="628E05BD">
      <w:pPr>
        <w:tabs>
          <w:tab w:val="left" w:leader="dot" w:pos="8910"/>
        </w:tabs>
        <w:spacing w:line="240" w:lineRule="auto"/>
        <w:ind w:left="720" w:hanging="720"/>
        <w:rPr>
          <w:sz w:val="28"/>
          <w:szCs w:val="28"/>
        </w:rPr>
      </w:pPr>
      <w:r w:rsidRPr="00D831DA">
        <w:rPr>
          <w:i/>
          <w:iCs/>
          <w:sz w:val="28"/>
          <w:szCs w:val="28"/>
        </w:rPr>
        <w:t>Updated Requirements for the Registration of Technology Transfer Agreements</w:t>
      </w:r>
      <w:r>
        <w:rPr>
          <w:sz w:val="28"/>
          <w:szCs w:val="28"/>
        </w:rPr>
        <w:t xml:space="preserve">, </w:t>
      </w:r>
      <w:r w:rsidRPr="00D831DA">
        <w:rPr>
          <w:smallCaps/>
          <w:sz w:val="28"/>
          <w:szCs w:val="28"/>
        </w:rPr>
        <w:t>Nat</w:t>
      </w:r>
      <w:r>
        <w:rPr>
          <w:smallCaps/>
          <w:sz w:val="28"/>
          <w:szCs w:val="28"/>
        </w:rPr>
        <w:t>’l</w:t>
      </w:r>
      <w:r w:rsidRPr="00D831DA">
        <w:rPr>
          <w:smallCaps/>
          <w:sz w:val="28"/>
          <w:szCs w:val="28"/>
        </w:rPr>
        <w:t xml:space="preserve"> Off</w:t>
      </w:r>
      <w:r>
        <w:rPr>
          <w:smallCaps/>
          <w:sz w:val="28"/>
          <w:szCs w:val="28"/>
        </w:rPr>
        <w:t>.</w:t>
      </w:r>
      <w:r w:rsidRPr="00D831DA">
        <w:rPr>
          <w:smallCaps/>
          <w:sz w:val="28"/>
          <w:szCs w:val="28"/>
        </w:rPr>
        <w:t xml:space="preserve"> for Tech</w:t>
      </w:r>
      <w:r>
        <w:rPr>
          <w:smallCaps/>
          <w:sz w:val="28"/>
          <w:szCs w:val="28"/>
        </w:rPr>
        <w:t>.</w:t>
      </w:r>
      <w:r w:rsidRPr="00D831DA">
        <w:rPr>
          <w:smallCaps/>
          <w:sz w:val="28"/>
          <w:szCs w:val="28"/>
        </w:rPr>
        <w:t xml:space="preserve"> Acquisition and Promotion,</w:t>
      </w:r>
      <w:r>
        <w:rPr>
          <w:sz w:val="28"/>
          <w:szCs w:val="28"/>
        </w:rPr>
        <w:t xml:space="preserve"> </w:t>
      </w:r>
      <w:r w:rsidRPr="00CE02AE" w:rsidR="00CE02AE">
        <w:rPr>
          <w:sz w:val="28"/>
          <w:szCs w:val="28"/>
        </w:rPr>
        <w:t>https://perma.cc/CRL4-3XJL</w:t>
      </w:r>
      <w:r w:rsidR="00CE02AE">
        <w:rPr>
          <w:sz w:val="28"/>
          <w:szCs w:val="28"/>
        </w:rPr>
        <w:tab/>
      </w:r>
      <w:r w:rsidRPr="008A1215">
        <w:rPr>
          <w:sz w:val="28"/>
          <w:szCs w:val="28"/>
        </w:rPr>
        <w:t>6</w:t>
      </w:r>
      <w:r>
        <w:rPr>
          <w:sz w:val="28"/>
          <w:szCs w:val="28"/>
        </w:rPr>
        <w:t>, 7</w:t>
      </w:r>
    </w:p>
    <w:p w:rsidR="007B4B7B" w:rsidP="00AB3CCA" w14:paraId="3861EDBF" w14:textId="66E24C43">
      <w:pPr>
        <w:pStyle w:val="Heading1"/>
        <w:jc w:val="both"/>
      </w:pPr>
    </w:p>
    <w:p w:rsidR="006413E9" w:rsidP="00EF6349" w14:paraId="2A712BB7" w14:textId="0C6B83EB">
      <w:pPr>
        <w:pStyle w:val="Heading1"/>
      </w:pPr>
      <w:bookmarkStart w:id="6" w:name="_Toc158823196"/>
      <w:r>
        <w:t>INTEREST OF AMICUS CURIAE</w:t>
      </w:r>
      <w:r>
        <w:rPr>
          <w:rStyle w:val="FootnoteReference"/>
        </w:rPr>
        <w:footnoteReference w:id="2"/>
      </w:r>
      <w:bookmarkEnd w:id="6"/>
    </w:p>
    <w:p w:rsidR="001D24C5" w:rsidP="00762D90" w14:paraId="7B717BB4" w14:textId="5A24D781">
      <w:pPr>
        <w:jc w:val="both"/>
        <w:rPr>
          <w:sz w:val="28"/>
          <w:szCs w:val="28"/>
        </w:rPr>
      </w:pPr>
      <w:r>
        <w:rPr>
          <w:sz w:val="28"/>
          <w:szCs w:val="28"/>
        </w:rPr>
        <w:tab/>
      </w:r>
      <w:r>
        <w:rPr>
          <w:i/>
          <w:iCs/>
          <w:sz w:val="28"/>
          <w:szCs w:val="28"/>
        </w:rPr>
        <w:t xml:space="preserve">Amicus Curiae </w:t>
      </w:r>
      <w:r>
        <w:rPr>
          <w:sz w:val="28"/>
          <w:szCs w:val="28"/>
        </w:rPr>
        <w:t>National Foreign Trade Council</w:t>
      </w:r>
      <w:r w:rsidR="00F3715C">
        <w:rPr>
          <w:sz w:val="28"/>
          <w:szCs w:val="28"/>
        </w:rPr>
        <w:t xml:space="preserve">, Inc. </w:t>
      </w:r>
      <w:r w:rsidR="008B605D">
        <w:rPr>
          <w:sz w:val="28"/>
          <w:szCs w:val="28"/>
        </w:rPr>
        <w:t xml:space="preserve">(“NFTC”) is the premier business organization in the United States advocating a rules-based world economy to foster international trade, tax, and investment policies, and economic cooperation. Founded in 1914 to support the open world trade system </w:t>
      </w:r>
      <w:r>
        <w:rPr>
          <w:sz w:val="28"/>
          <w:szCs w:val="28"/>
        </w:rPr>
        <w:t xml:space="preserve">against the escalating rivalries that erupted into World War I, the NFTC is today the oldest and largest U.S. association of businesses devoted to international trade </w:t>
      </w:r>
      <w:r w:rsidR="00B32A84">
        <w:rPr>
          <w:sz w:val="28"/>
          <w:szCs w:val="28"/>
        </w:rPr>
        <w:t xml:space="preserve">and tax </w:t>
      </w:r>
      <w:r>
        <w:rPr>
          <w:sz w:val="28"/>
          <w:szCs w:val="28"/>
        </w:rPr>
        <w:t>matters.</w:t>
      </w:r>
    </w:p>
    <w:p w:rsidR="00F714A7" w:rsidP="00762D90" w14:paraId="3E117661" w14:textId="231E5F1F">
      <w:pPr>
        <w:jc w:val="both"/>
        <w:rPr>
          <w:sz w:val="28"/>
          <w:szCs w:val="28"/>
        </w:rPr>
      </w:pPr>
      <w:r>
        <w:rPr>
          <w:sz w:val="28"/>
          <w:szCs w:val="28"/>
        </w:rPr>
        <w:tab/>
        <w:t xml:space="preserve">The NFTC’s mission is to promote efficient and fair global commerce by advocating public policies that foster an open international trade and investment regime. The NFTC’s membership includes over 100 companies, representing most major sectors of the U.S. economy, including manufacturing, technology, energy, retail, and agribusiness. </w:t>
      </w:r>
      <w:r>
        <w:rPr>
          <w:sz w:val="28"/>
          <w:szCs w:val="28"/>
        </w:rPr>
        <w:t>The NFTC’s membership consists of U.S. firms engaged in all aspects of international business, trade, and investment. NFTC members account for over $</w:t>
      </w:r>
      <w:r w:rsidR="00515F98">
        <w:rPr>
          <w:sz w:val="28"/>
          <w:szCs w:val="28"/>
        </w:rPr>
        <w:t>5</w:t>
      </w:r>
      <w:r>
        <w:rPr>
          <w:sz w:val="28"/>
          <w:szCs w:val="28"/>
        </w:rPr>
        <w:t xml:space="preserve"> trillion in global</w:t>
      </w:r>
      <w:r w:rsidR="003D408F">
        <w:rPr>
          <w:sz w:val="28"/>
          <w:szCs w:val="28"/>
        </w:rPr>
        <w:t xml:space="preserve"> revenue</w:t>
      </w:r>
      <w:r>
        <w:rPr>
          <w:sz w:val="28"/>
          <w:szCs w:val="28"/>
        </w:rPr>
        <w:t xml:space="preserve">. They also represent </w:t>
      </w:r>
      <w:r w:rsidR="00515F98">
        <w:rPr>
          <w:sz w:val="28"/>
          <w:szCs w:val="28"/>
        </w:rPr>
        <w:t>a significant share of</w:t>
      </w:r>
      <w:r>
        <w:rPr>
          <w:sz w:val="28"/>
          <w:szCs w:val="28"/>
        </w:rPr>
        <w:t xml:space="preserve"> total U.S. exports and U.S. private foreign investment.</w:t>
      </w:r>
    </w:p>
    <w:p w:rsidR="001D24C5" w:rsidP="00762D90" w14:paraId="57CB3608" w14:textId="00799661">
      <w:pPr>
        <w:jc w:val="both"/>
        <w:rPr>
          <w:sz w:val="28"/>
          <w:szCs w:val="28"/>
        </w:rPr>
      </w:pPr>
      <w:r>
        <w:rPr>
          <w:sz w:val="28"/>
          <w:szCs w:val="28"/>
        </w:rPr>
        <w:tab/>
        <w:t xml:space="preserve">Like </w:t>
      </w:r>
      <w:r w:rsidR="008F0744">
        <w:rPr>
          <w:sz w:val="28"/>
          <w:szCs w:val="28"/>
        </w:rPr>
        <w:t>the appellant</w:t>
      </w:r>
      <w:r>
        <w:rPr>
          <w:sz w:val="28"/>
          <w:szCs w:val="28"/>
        </w:rPr>
        <w:t xml:space="preserve">, NFTC members operate globally and face restrictions in several countries </w:t>
      </w:r>
      <w:r w:rsidR="008F0744">
        <w:rPr>
          <w:sz w:val="28"/>
          <w:szCs w:val="28"/>
        </w:rPr>
        <w:t xml:space="preserve">that </w:t>
      </w:r>
      <w:r>
        <w:rPr>
          <w:sz w:val="28"/>
          <w:szCs w:val="28"/>
        </w:rPr>
        <w:t xml:space="preserve">limit the payment of royalties </w:t>
      </w:r>
      <w:r w:rsidR="00FC47EB">
        <w:rPr>
          <w:sz w:val="28"/>
          <w:szCs w:val="28"/>
        </w:rPr>
        <w:t xml:space="preserve">from a foreign corporation to </w:t>
      </w:r>
      <w:r w:rsidR="008F0744">
        <w:rPr>
          <w:sz w:val="28"/>
          <w:szCs w:val="28"/>
        </w:rPr>
        <w:t>a</w:t>
      </w:r>
      <w:r w:rsidR="00FC47EB">
        <w:rPr>
          <w:sz w:val="28"/>
          <w:szCs w:val="28"/>
        </w:rPr>
        <w:t xml:space="preserve"> U.S. parent or affiliate.</w:t>
      </w:r>
      <w:r w:rsidR="008F0744">
        <w:rPr>
          <w:sz w:val="28"/>
          <w:szCs w:val="28"/>
        </w:rPr>
        <w:t xml:space="preserve"> NFTC and its members have a substantial interest in the outcome of this case.</w:t>
      </w:r>
      <w:r w:rsidR="00FC47EB">
        <w:rPr>
          <w:sz w:val="28"/>
          <w:szCs w:val="28"/>
        </w:rPr>
        <w:t xml:space="preserve">  </w:t>
      </w:r>
    </w:p>
    <w:p w:rsidR="003D408F" w:rsidP="00AB3CCA" w14:paraId="4465F3D6" w14:textId="13D0CF09">
      <w:pPr>
        <w:pStyle w:val="Heading1"/>
      </w:pPr>
      <w:bookmarkStart w:id="7" w:name="_Toc158823197"/>
      <w:r>
        <w:t>CONSENT OF THE PARTIES</w:t>
      </w:r>
      <w:bookmarkEnd w:id="7"/>
    </w:p>
    <w:p w:rsidR="008F35C6" w:rsidRPr="008F35C6" w:rsidP="008F35C6" w14:paraId="4CA345D0" w14:textId="3246DF4D">
      <w:pPr>
        <w:jc w:val="both"/>
        <w:rPr>
          <w:sz w:val="28"/>
          <w:szCs w:val="28"/>
        </w:rPr>
      </w:pPr>
      <w:r>
        <w:rPr>
          <w:sz w:val="28"/>
          <w:szCs w:val="28"/>
        </w:rPr>
        <w:tab/>
        <w:t>Pursuant to Federal Rule of Appellate Procedure 29, NFTC has</w:t>
      </w:r>
      <w:r w:rsidR="00923C5D">
        <w:rPr>
          <w:sz w:val="28"/>
          <w:szCs w:val="28"/>
        </w:rPr>
        <w:t xml:space="preserve"> received</w:t>
      </w:r>
      <w:r>
        <w:rPr>
          <w:sz w:val="28"/>
          <w:szCs w:val="28"/>
        </w:rPr>
        <w:t xml:space="preserve"> consent from </w:t>
      </w:r>
      <w:r w:rsidR="00923C5D">
        <w:rPr>
          <w:sz w:val="28"/>
          <w:szCs w:val="28"/>
        </w:rPr>
        <w:t xml:space="preserve">all </w:t>
      </w:r>
      <w:r>
        <w:rPr>
          <w:sz w:val="28"/>
          <w:szCs w:val="28"/>
        </w:rPr>
        <w:t>parties to</w:t>
      </w:r>
      <w:r w:rsidR="00923C5D">
        <w:rPr>
          <w:sz w:val="28"/>
          <w:szCs w:val="28"/>
        </w:rPr>
        <w:t xml:space="preserve"> file this amicus brief. </w:t>
      </w:r>
      <w:r w:rsidRPr="00923C5D" w:rsidR="00923C5D">
        <w:rPr>
          <w:smallCaps/>
          <w:sz w:val="28"/>
          <w:szCs w:val="28"/>
        </w:rPr>
        <w:t>Fed. R. App. P</w:t>
      </w:r>
      <w:r w:rsidR="00923C5D">
        <w:rPr>
          <w:sz w:val="28"/>
          <w:szCs w:val="28"/>
        </w:rPr>
        <w:t>. 29(a)(2).</w:t>
      </w:r>
    </w:p>
    <w:p w:rsidR="003D408F" w:rsidP="003D408F" w14:paraId="7D7F466C" w14:textId="77777777">
      <w:pPr>
        <w:jc w:val="center"/>
        <w:rPr>
          <w:b/>
          <w:bCs/>
          <w:sz w:val="28"/>
          <w:szCs w:val="28"/>
          <w:u w:val="single"/>
        </w:rPr>
      </w:pPr>
    </w:p>
    <w:p w:rsidR="003D408F" w:rsidRPr="003D408F" w:rsidP="003D408F" w14:paraId="089EEE73" w14:textId="4C052C3F">
      <w:pPr>
        <w:jc w:val="center"/>
        <w:rPr>
          <w:b/>
          <w:bCs/>
          <w:sz w:val="28"/>
          <w:szCs w:val="28"/>
          <w:u w:val="single"/>
        </w:rPr>
        <w:sectPr w:rsidSect="007B4B7B">
          <w:footerReference w:type="default" r:id="rId13"/>
          <w:pgSz w:w="12240" w:h="15840"/>
          <w:pgMar w:top="1440" w:right="1440" w:bottom="1440" w:left="1440" w:header="720" w:footer="720" w:gutter="0"/>
          <w:pgNumType w:fmt="lowerRoman" w:start="1"/>
          <w:cols w:space="720"/>
          <w:docGrid w:linePitch="360"/>
        </w:sectPr>
      </w:pPr>
    </w:p>
    <w:p w:rsidR="00031505" w:rsidP="00031505" w14:paraId="08DA6EFB" w14:textId="17B72878">
      <w:pPr>
        <w:pStyle w:val="Heading1"/>
      </w:pPr>
      <w:bookmarkStart w:id="8" w:name="_Toc158823198"/>
      <w:r>
        <w:t>INTRODUCTION</w:t>
      </w:r>
      <w:r w:rsidR="0009356F">
        <w:t xml:space="preserve"> &amp; SUMMARY OF THE ARGUMENT</w:t>
      </w:r>
      <w:bookmarkEnd w:id="8"/>
    </w:p>
    <w:p w:rsidR="0009356F" w:rsidP="0009356F" w14:paraId="088D80CE" w14:textId="08F6CEF6">
      <w:pPr>
        <w:jc w:val="both"/>
        <w:rPr>
          <w:sz w:val="28"/>
          <w:szCs w:val="28"/>
        </w:rPr>
      </w:pPr>
      <w:r>
        <w:rPr>
          <w:sz w:val="28"/>
          <w:szCs w:val="28"/>
        </w:rPr>
        <w:tab/>
      </w:r>
      <w:r>
        <w:rPr>
          <w:sz w:val="28"/>
          <w:szCs w:val="28"/>
        </w:rPr>
        <w:t>Pursuant to its “Blocked Income Rule,” the I</w:t>
      </w:r>
      <w:r w:rsidR="00482920">
        <w:rPr>
          <w:sz w:val="28"/>
          <w:szCs w:val="28"/>
        </w:rPr>
        <w:t xml:space="preserve">nternal </w:t>
      </w:r>
      <w:r>
        <w:rPr>
          <w:sz w:val="28"/>
          <w:szCs w:val="28"/>
        </w:rPr>
        <w:t>R</w:t>
      </w:r>
      <w:r w:rsidR="00482920">
        <w:rPr>
          <w:sz w:val="28"/>
          <w:szCs w:val="28"/>
        </w:rPr>
        <w:t>evenue</w:t>
      </w:r>
      <w:r>
        <w:rPr>
          <w:sz w:val="28"/>
          <w:szCs w:val="28"/>
        </w:rPr>
        <w:t xml:space="preserve"> </w:t>
      </w:r>
      <w:r w:rsidR="00482920">
        <w:rPr>
          <w:sz w:val="28"/>
          <w:szCs w:val="28"/>
        </w:rPr>
        <w:t xml:space="preserve">Service (“IRS”) </w:t>
      </w:r>
      <w:r>
        <w:rPr>
          <w:sz w:val="28"/>
          <w:szCs w:val="28"/>
        </w:rPr>
        <w:t xml:space="preserve">asserts the authority to allocate to a U.S. taxpayer purported “income” that the taxpayer never received—and, indeed, could not have received without violating the law of a foreign sovereign. The </w:t>
      </w:r>
      <w:r w:rsidRPr="00644947">
        <w:rPr>
          <w:sz w:val="28"/>
          <w:szCs w:val="28"/>
        </w:rPr>
        <w:t xml:space="preserve">Tax Court’s decision upholding the Blocked Income Rule should be reversed for </w:t>
      </w:r>
      <w:r>
        <w:rPr>
          <w:sz w:val="28"/>
          <w:szCs w:val="28"/>
        </w:rPr>
        <w:t xml:space="preserve">at least </w:t>
      </w:r>
      <w:r w:rsidRPr="00644947">
        <w:rPr>
          <w:sz w:val="28"/>
          <w:szCs w:val="28"/>
        </w:rPr>
        <w:t xml:space="preserve">three </w:t>
      </w:r>
      <w:r>
        <w:rPr>
          <w:sz w:val="28"/>
          <w:szCs w:val="28"/>
        </w:rPr>
        <w:t>independent</w:t>
      </w:r>
      <w:r w:rsidRPr="00644947">
        <w:rPr>
          <w:sz w:val="28"/>
          <w:szCs w:val="28"/>
        </w:rPr>
        <w:t xml:space="preserve"> reasons.  </w:t>
      </w:r>
    </w:p>
    <w:p w:rsidR="0009356F" w:rsidP="0009356F" w14:paraId="37931DB4" w14:textId="31C4E779">
      <w:pPr>
        <w:ind w:firstLine="720"/>
        <w:jc w:val="both"/>
        <w:rPr>
          <w:sz w:val="28"/>
          <w:szCs w:val="28"/>
        </w:rPr>
      </w:pPr>
      <w:r w:rsidRPr="00644947">
        <w:rPr>
          <w:sz w:val="28"/>
          <w:szCs w:val="28"/>
        </w:rPr>
        <w:t xml:space="preserve">First, as discussed more thoroughly in 3M’s Initial Brief, the Blocked Income Rule fails under the first step of a </w:t>
      </w:r>
      <w:r w:rsidRPr="00FC0734">
        <w:rPr>
          <w:i/>
          <w:iCs/>
          <w:sz w:val="28"/>
          <w:szCs w:val="28"/>
        </w:rPr>
        <w:t>Chevron</w:t>
      </w:r>
      <w:r w:rsidRPr="00644947">
        <w:rPr>
          <w:sz w:val="28"/>
          <w:szCs w:val="28"/>
        </w:rPr>
        <w:t xml:space="preserve"> analysis.</w:t>
      </w:r>
      <w:r>
        <w:rPr>
          <w:sz w:val="28"/>
          <w:szCs w:val="28"/>
        </w:rPr>
        <w:t xml:space="preserve"> (Because that issue has been fully briefed by 3M, this amicus brief focuses on practical considerations of particular interest to NFTC and its members.)</w:t>
      </w:r>
      <w:r w:rsidRPr="00644947">
        <w:rPr>
          <w:sz w:val="28"/>
          <w:szCs w:val="28"/>
        </w:rPr>
        <w:t xml:space="preserve">  </w:t>
      </w:r>
    </w:p>
    <w:p w:rsidR="0009356F" w:rsidP="0009356F" w14:paraId="21E74514" w14:textId="7F6E7201">
      <w:pPr>
        <w:ind w:firstLine="720"/>
        <w:jc w:val="both"/>
        <w:rPr>
          <w:sz w:val="28"/>
          <w:szCs w:val="28"/>
        </w:rPr>
      </w:pPr>
      <w:r w:rsidRPr="00644947">
        <w:rPr>
          <w:sz w:val="28"/>
          <w:szCs w:val="28"/>
        </w:rPr>
        <w:t xml:space="preserve">Second, assuming </w:t>
      </w:r>
      <w:r w:rsidRPr="00FC0734">
        <w:rPr>
          <w:i/>
          <w:iCs/>
          <w:sz w:val="28"/>
          <w:szCs w:val="28"/>
        </w:rPr>
        <w:t>arguendo</w:t>
      </w:r>
      <w:r w:rsidRPr="00644947">
        <w:rPr>
          <w:sz w:val="28"/>
          <w:szCs w:val="28"/>
        </w:rPr>
        <w:t xml:space="preserve"> that the statute is ambiguous, the Blocked Income Rule</w:t>
      </w:r>
      <w:r>
        <w:rPr>
          <w:sz w:val="28"/>
          <w:szCs w:val="28"/>
        </w:rPr>
        <w:t xml:space="preserve"> fails </w:t>
      </w:r>
      <w:r>
        <w:rPr>
          <w:i/>
          <w:iCs/>
          <w:sz w:val="28"/>
          <w:szCs w:val="28"/>
        </w:rPr>
        <w:t xml:space="preserve">Chevron </w:t>
      </w:r>
      <w:r>
        <w:rPr>
          <w:sz w:val="28"/>
          <w:szCs w:val="28"/>
        </w:rPr>
        <w:t>step two because it does not embody a permissible interpretation of the law Congress enacted. As real-world examples make clear—examples that are regrettably all-too-familiar to NFTC and its members—application of the rule to multinational businesses with operations within and outside of the United States leads</w:t>
      </w:r>
      <w:r w:rsidRPr="00644947">
        <w:rPr>
          <w:sz w:val="28"/>
          <w:szCs w:val="28"/>
        </w:rPr>
        <w:t xml:space="preserve"> to </w:t>
      </w:r>
      <w:r>
        <w:rPr>
          <w:sz w:val="28"/>
          <w:szCs w:val="28"/>
        </w:rPr>
        <w:t xml:space="preserve">demonstrably unjust </w:t>
      </w:r>
      <w:r w:rsidRPr="00644947">
        <w:rPr>
          <w:sz w:val="28"/>
          <w:szCs w:val="28"/>
        </w:rPr>
        <w:t>results that Congress could not have intended.</w:t>
      </w:r>
      <w:r>
        <w:rPr>
          <w:sz w:val="28"/>
          <w:szCs w:val="28"/>
        </w:rPr>
        <w:t xml:space="preserve"> Notably, the IRS has not just failed to adduce any evidence that Congress </w:t>
      </w:r>
      <w:r>
        <w:rPr>
          <w:i/>
          <w:iCs/>
          <w:sz w:val="28"/>
          <w:szCs w:val="28"/>
        </w:rPr>
        <w:t xml:space="preserve">implicitly </w:t>
      </w:r>
      <w:r>
        <w:rPr>
          <w:sz w:val="28"/>
          <w:szCs w:val="28"/>
        </w:rPr>
        <w:t xml:space="preserve">intended—or even might have intended—to inflict </w:t>
      </w:r>
      <w:r w:rsidR="003850E8">
        <w:rPr>
          <w:sz w:val="28"/>
          <w:szCs w:val="28"/>
        </w:rPr>
        <w:t>double taxation</w:t>
      </w:r>
      <w:r>
        <w:rPr>
          <w:sz w:val="28"/>
          <w:szCs w:val="28"/>
        </w:rPr>
        <w:t xml:space="preserve"> and competitive disadvantages on lawful U.S. taxpayers; its </w:t>
      </w:r>
      <w:r w:rsidR="003850E8">
        <w:rPr>
          <w:sz w:val="28"/>
          <w:szCs w:val="28"/>
        </w:rPr>
        <w:t xml:space="preserve">flawed </w:t>
      </w:r>
      <w:r>
        <w:rPr>
          <w:sz w:val="28"/>
          <w:szCs w:val="28"/>
        </w:rPr>
        <w:t xml:space="preserve">policy bears no discernible relationship to the statutory purposes that Congress </w:t>
      </w:r>
      <w:r w:rsidRPr="00FC0734">
        <w:rPr>
          <w:i/>
          <w:iCs/>
          <w:sz w:val="28"/>
          <w:szCs w:val="28"/>
        </w:rPr>
        <w:t>expressly</w:t>
      </w:r>
      <w:r>
        <w:rPr>
          <w:sz w:val="28"/>
          <w:szCs w:val="28"/>
        </w:rPr>
        <w:t xml:space="preserve"> incorporated into the text of the operative provision.   </w:t>
      </w:r>
      <w:r w:rsidRPr="00644947">
        <w:rPr>
          <w:sz w:val="28"/>
          <w:szCs w:val="28"/>
        </w:rPr>
        <w:t xml:space="preserve">  </w:t>
      </w:r>
    </w:p>
    <w:p w:rsidR="006413E9" w:rsidP="00D62652" w14:paraId="5CA54218" w14:textId="00A8E74A">
      <w:pPr>
        <w:jc w:val="both"/>
        <w:rPr>
          <w:sz w:val="28"/>
          <w:szCs w:val="28"/>
        </w:rPr>
      </w:pPr>
      <w:r>
        <w:rPr>
          <w:sz w:val="28"/>
          <w:szCs w:val="28"/>
        </w:rPr>
        <w:tab/>
      </w:r>
      <w:r w:rsidR="0009356F">
        <w:rPr>
          <w:sz w:val="28"/>
          <w:szCs w:val="28"/>
        </w:rPr>
        <w:t>Third</w:t>
      </w:r>
      <w:r w:rsidRPr="00644947" w:rsidR="0009356F">
        <w:rPr>
          <w:sz w:val="28"/>
          <w:szCs w:val="28"/>
        </w:rPr>
        <w:t xml:space="preserve">, </w:t>
      </w:r>
      <w:r w:rsidR="0009356F">
        <w:rPr>
          <w:sz w:val="28"/>
          <w:szCs w:val="28"/>
        </w:rPr>
        <w:t xml:space="preserve">and relatedly, the Blocked Income Rule is procedurally invalid because </w:t>
      </w:r>
      <w:r w:rsidRPr="00644947" w:rsidR="0009356F">
        <w:rPr>
          <w:sz w:val="28"/>
          <w:szCs w:val="28"/>
        </w:rPr>
        <w:t xml:space="preserve">the </w:t>
      </w:r>
      <w:r w:rsidR="0009356F">
        <w:rPr>
          <w:sz w:val="28"/>
          <w:szCs w:val="28"/>
        </w:rPr>
        <w:t>IRS</w:t>
      </w:r>
      <w:r w:rsidRPr="00644947" w:rsidR="0009356F">
        <w:rPr>
          <w:sz w:val="28"/>
          <w:szCs w:val="28"/>
        </w:rPr>
        <w:t xml:space="preserve"> </w:t>
      </w:r>
      <w:r w:rsidR="0009356F">
        <w:rPr>
          <w:sz w:val="28"/>
          <w:szCs w:val="28"/>
        </w:rPr>
        <w:t xml:space="preserve">failed to properly consider </w:t>
      </w:r>
      <w:r w:rsidRPr="003A3C0F" w:rsidR="0009356F">
        <w:rPr>
          <w:sz w:val="28"/>
          <w:szCs w:val="28"/>
        </w:rPr>
        <w:t xml:space="preserve">or </w:t>
      </w:r>
      <w:r w:rsidR="0009356F">
        <w:rPr>
          <w:sz w:val="28"/>
          <w:szCs w:val="28"/>
        </w:rPr>
        <w:t>respond to significant</w:t>
      </w:r>
      <w:r w:rsidRPr="00644947" w:rsidR="0009356F">
        <w:rPr>
          <w:sz w:val="28"/>
          <w:szCs w:val="28"/>
        </w:rPr>
        <w:t xml:space="preserve"> comments </w:t>
      </w:r>
      <w:r w:rsidR="0009356F">
        <w:rPr>
          <w:sz w:val="28"/>
          <w:szCs w:val="28"/>
        </w:rPr>
        <w:t xml:space="preserve">that alerted the agency to the substantial problems noted above. Regulated entities that had acquired hard-won knowledge of the legal and practical realities facing businesses that operate across national borders—including organizations like NFTC and its members—had ample basis for doubting the propriety of the Blocked Income Rule. But such experience can only be brought to bear if agencies wielding massive law-making powers consider such information before displacing settled expectations and charting a bold new course. As explained at length below, knowledgeable parties submitted numerous and detailed comments warning the IRS that the Blocked Income Rule suffered from a broad range of defects—including those flagged by 3M and NFTC in discussing steps one and two the </w:t>
      </w:r>
      <w:r w:rsidR="0009356F">
        <w:rPr>
          <w:i/>
          <w:iCs/>
          <w:sz w:val="28"/>
          <w:szCs w:val="28"/>
        </w:rPr>
        <w:t xml:space="preserve">Chevron </w:t>
      </w:r>
      <w:r w:rsidR="0009356F">
        <w:rPr>
          <w:sz w:val="28"/>
          <w:szCs w:val="28"/>
        </w:rPr>
        <w:t xml:space="preserve">framework. Instead of taking corrective action—or even explaining its decision to dismiss such concerns and suggestions—the IRS simply ignored comments that stood in the way of its preferred policy, reasoning that it was somehow exempt from the generally applicable procedural requirements imposed by the APA. If the IRS had </w:t>
      </w:r>
      <w:r w:rsidR="003A3C0F">
        <w:rPr>
          <w:sz w:val="28"/>
          <w:szCs w:val="28"/>
        </w:rPr>
        <w:t xml:space="preserve">acknowledged that it—like all other agencies—was required to </w:t>
      </w:r>
      <w:r w:rsidR="003A3C0F">
        <w:rPr>
          <w:i/>
          <w:iCs/>
          <w:sz w:val="28"/>
          <w:szCs w:val="28"/>
        </w:rPr>
        <w:t xml:space="preserve">address </w:t>
      </w:r>
      <w:r w:rsidR="003A3C0F">
        <w:rPr>
          <w:sz w:val="28"/>
          <w:szCs w:val="28"/>
        </w:rPr>
        <w:t>significant concerns raised by comment</w:t>
      </w:r>
      <w:r w:rsidR="00B14139">
        <w:rPr>
          <w:sz w:val="28"/>
          <w:szCs w:val="28"/>
        </w:rPr>
        <w:t>s</w:t>
      </w:r>
      <w:r w:rsidR="0009356F">
        <w:rPr>
          <w:sz w:val="28"/>
          <w:szCs w:val="28"/>
        </w:rPr>
        <w:t xml:space="preserve">, it might well have avoided or ameliorated the enormous practical problems its rule has spawned for law-abiding businesses. At any rate, the agency’s manifest refusal to even </w:t>
      </w:r>
      <w:r w:rsidRPr="00FC0734" w:rsidR="0009356F">
        <w:rPr>
          <w:i/>
          <w:iCs/>
          <w:sz w:val="28"/>
          <w:szCs w:val="28"/>
        </w:rPr>
        <w:t>consider</w:t>
      </w:r>
      <w:r w:rsidR="0009356F">
        <w:rPr>
          <w:sz w:val="28"/>
          <w:szCs w:val="28"/>
        </w:rPr>
        <w:t xml:space="preserve"> such comments cannot be countenanced—and supplies a narrow and independent basis for reversing the judgment below.</w:t>
      </w:r>
    </w:p>
    <w:p w:rsidR="006413E9" w:rsidRPr="00EF6349" w:rsidP="00EF6349" w14:paraId="5EE70407" w14:textId="06B7A6AC">
      <w:pPr>
        <w:pStyle w:val="Heading1"/>
      </w:pPr>
      <w:bookmarkStart w:id="9" w:name="_Toc158823199"/>
      <w:r w:rsidRPr="00EF6349">
        <w:t>ARGUMENT</w:t>
      </w:r>
      <w:bookmarkEnd w:id="9"/>
    </w:p>
    <w:p w:rsidR="008E2C2E" w:rsidRPr="003156E0" w:rsidP="003156E0" w14:paraId="5FA8F800" w14:textId="38DA5164">
      <w:pPr>
        <w:pStyle w:val="Heading2"/>
      </w:pPr>
      <w:bookmarkStart w:id="10" w:name="_Toc158823200"/>
      <w:r w:rsidRPr="003156E0">
        <w:t>I.</w:t>
      </w:r>
      <w:r w:rsidRPr="003156E0">
        <w:tab/>
        <w:t>The Tax Court Erred in Upholding the Blocked Income Rule.</w:t>
      </w:r>
      <w:bookmarkEnd w:id="10"/>
    </w:p>
    <w:p w:rsidR="00F77BB8" w:rsidP="00F77BB8" w14:paraId="5B594E77" w14:textId="38ED9DF9">
      <w:pPr>
        <w:jc w:val="both"/>
        <w:rPr>
          <w:sz w:val="28"/>
          <w:szCs w:val="28"/>
        </w:rPr>
      </w:pPr>
      <w:r w:rsidRPr="00657192">
        <w:rPr>
          <w:sz w:val="28"/>
          <w:szCs w:val="28"/>
        </w:rPr>
        <w:tab/>
      </w:r>
      <w:r w:rsidR="00330A81">
        <w:rPr>
          <w:sz w:val="28"/>
          <w:szCs w:val="28"/>
        </w:rPr>
        <w:t>The Blocked Income Rule is invalid for at least three distinct reasons of particular interest to NFTC and its members.</w:t>
      </w:r>
      <w:r w:rsidR="005D54D0">
        <w:rPr>
          <w:sz w:val="28"/>
          <w:szCs w:val="28"/>
        </w:rPr>
        <w:t xml:space="preserve">  </w:t>
      </w:r>
    </w:p>
    <w:p w:rsidR="005D54D0" w:rsidRPr="005D2165" w:rsidP="005D2165" w14:paraId="78DC33CB" w14:textId="089896B2">
      <w:pPr>
        <w:pStyle w:val="Heading3"/>
      </w:pPr>
      <w:bookmarkStart w:id="11" w:name="_Toc158823201"/>
      <w:r w:rsidRPr="005D2165">
        <w:t xml:space="preserve">The </w:t>
      </w:r>
      <w:r w:rsidRPr="005D2165" w:rsidR="005D2165">
        <w:t>Blocked Income Rule Fails Under the First Step of Chevron.</w:t>
      </w:r>
      <w:bookmarkEnd w:id="11"/>
    </w:p>
    <w:p w:rsidR="00330A81" w:rsidRPr="0059293F" w:rsidP="00330A81" w14:paraId="01E2ABE4" w14:textId="56F70738">
      <w:pPr>
        <w:ind w:firstLine="720"/>
        <w:jc w:val="both"/>
        <w:rPr>
          <w:sz w:val="28"/>
          <w:szCs w:val="28"/>
        </w:rPr>
      </w:pPr>
      <w:r w:rsidRPr="0059293F">
        <w:rPr>
          <w:sz w:val="28"/>
          <w:szCs w:val="28"/>
        </w:rPr>
        <w:t xml:space="preserve">NFTC agrees with 3M that the Blocked Income Rule fails under the first step of the </w:t>
      </w:r>
      <w:r w:rsidRPr="00FC0734">
        <w:rPr>
          <w:i/>
          <w:iCs/>
          <w:sz w:val="28"/>
          <w:szCs w:val="28"/>
        </w:rPr>
        <w:t>Chevron</w:t>
      </w:r>
      <w:r w:rsidRPr="0059293F">
        <w:rPr>
          <w:sz w:val="28"/>
          <w:szCs w:val="28"/>
        </w:rPr>
        <w:t xml:space="preserve"> analysis. It is well-settled that under </w:t>
      </w:r>
      <w:r w:rsidRPr="00FC0734">
        <w:rPr>
          <w:i/>
          <w:iCs/>
          <w:sz w:val="28"/>
          <w:szCs w:val="28"/>
        </w:rPr>
        <w:t>Chevron</w:t>
      </w:r>
      <w:r w:rsidRPr="0059293F">
        <w:rPr>
          <w:sz w:val="28"/>
          <w:szCs w:val="28"/>
        </w:rPr>
        <w:t xml:space="preserve"> courts must first determine whether “Congress has supplied a clear and unambiguous answer to the interpretive question at hand.” </w:t>
      </w:r>
      <w:r w:rsidRPr="00FC0734">
        <w:rPr>
          <w:i/>
          <w:iCs/>
          <w:sz w:val="28"/>
          <w:szCs w:val="28"/>
        </w:rPr>
        <w:t>Pereira v. Sessions</w:t>
      </w:r>
      <w:r w:rsidRPr="0059293F">
        <w:rPr>
          <w:sz w:val="28"/>
          <w:szCs w:val="28"/>
        </w:rPr>
        <w:t xml:space="preserve">, </w:t>
      </w:r>
      <w:r w:rsidR="00053E27">
        <w:rPr>
          <w:sz w:val="28"/>
          <w:szCs w:val="28"/>
        </w:rPr>
        <w:t>585 U.S. 198</w:t>
      </w:r>
      <w:r w:rsidRPr="0059293F">
        <w:rPr>
          <w:sz w:val="28"/>
          <w:szCs w:val="28"/>
        </w:rPr>
        <w:t xml:space="preserve">, </w:t>
      </w:r>
      <w:r w:rsidR="00053E27">
        <w:rPr>
          <w:sz w:val="28"/>
          <w:szCs w:val="28"/>
        </w:rPr>
        <w:t>208</w:t>
      </w:r>
      <w:r w:rsidRPr="0059293F">
        <w:rPr>
          <w:sz w:val="28"/>
          <w:szCs w:val="28"/>
        </w:rPr>
        <w:t xml:space="preserve"> (2018). If after employing the “traditional tools of statutory construction,” the court finds that the statute is unambiguous then </w:t>
      </w:r>
      <w:r w:rsidRPr="00FC0734">
        <w:rPr>
          <w:i/>
          <w:iCs/>
          <w:sz w:val="28"/>
          <w:szCs w:val="28"/>
        </w:rPr>
        <w:t>Chevron</w:t>
      </w:r>
      <w:r w:rsidRPr="0059293F">
        <w:rPr>
          <w:sz w:val="28"/>
          <w:szCs w:val="28"/>
        </w:rPr>
        <w:t xml:space="preserve"> is inapplicable as a matter of law. </w:t>
      </w:r>
      <w:r w:rsidRPr="00FC0734">
        <w:rPr>
          <w:i/>
          <w:iCs/>
          <w:sz w:val="28"/>
          <w:szCs w:val="28"/>
        </w:rPr>
        <w:t>Epic Sys. Corp. v. Lewis</w:t>
      </w:r>
      <w:r w:rsidRPr="0059293F">
        <w:rPr>
          <w:sz w:val="28"/>
          <w:szCs w:val="28"/>
        </w:rPr>
        <w:t xml:space="preserve">, </w:t>
      </w:r>
      <w:r w:rsidR="00053E27">
        <w:rPr>
          <w:sz w:val="28"/>
          <w:szCs w:val="28"/>
        </w:rPr>
        <w:t>584 U.S. 497</w:t>
      </w:r>
      <w:r w:rsidRPr="0059293F">
        <w:rPr>
          <w:sz w:val="28"/>
          <w:szCs w:val="28"/>
        </w:rPr>
        <w:t xml:space="preserve">, </w:t>
      </w:r>
      <w:r w:rsidR="00053E27">
        <w:rPr>
          <w:sz w:val="28"/>
          <w:szCs w:val="28"/>
        </w:rPr>
        <w:t>521</w:t>
      </w:r>
      <w:r w:rsidRPr="0059293F">
        <w:rPr>
          <w:sz w:val="28"/>
          <w:szCs w:val="28"/>
        </w:rPr>
        <w:t xml:space="preserve"> (2018).</w:t>
      </w:r>
    </w:p>
    <w:p w:rsidR="00330A81" w:rsidP="00330A81" w14:paraId="6FE90B8A" w14:textId="3D8A9814">
      <w:pPr>
        <w:jc w:val="both"/>
        <w:rPr>
          <w:sz w:val="28"/>
          <w:szCs w:val="28"/>
        </w:rPr>
      </w:pPr>
      <w:r w:rsidRPr="0059293F">
        <w:rPr>
          <w:sz w:val="28"/>
          <w:szCs w:val="28"/>
        </w:rPr>
        <w:tab/>
        <w:t xml:space="preserve">3M </w:t>
      </w:r>
      <w:r w:rsidR="003850E8">
        <w:rPr>
          <w:sz w:val="28"/>
          <w:szCs w:val="28"/>
        </w:rPr>
        <w:t>correctly</w:t>
      </w:r>
      <w:r w:rsidRPr="0059293F" w:rsidR="003850E8">
        <w:rPr>
          <w:sz w:val="28"/>
          <w:szCs w:val="28"/>
        </w:rPr>
        <w:t xml:space="preserve"> </w:t>
      </w:r>
      <w:r w:rsidRPr="0059293F">
        <w:rPr>
          <w:sz w:val="28"/>
          <w:szCs w:val="28"/>
        </w:rPr>
        <w:t xml:space="preserve">articulates why Section 482 is unambiguous.  Section 482 authorizes the IRS to “allocate gross income . . . among such organizations, trades or businesses” that are “owned or controlled directly or indirectly by the same interests”  as “necessary in order to prevent evasion of taxes or clearly to reflect the income of any such organizations, trades, or business.” 26 U.S.C. § 482. Based on the ordinary meaning of “income” in both traditional and statutory usage, 3M correctly </w:t>
      </w:r>
      <w:r w:rsidR="00B14139">
        <w:rPr>
          <w:sz w:val="28"/>
          <w:szCs w:val="28"/>
        </w:rPr>
        <w:t xml:space="preserve">explains </w:t>
      </w:r>
      <w:r w:rsidRPr="0059293F">
        <w:rPr>
          <w:sz w:val="28"/>
          <w:szCs w:val="28"/>
        </w:rPr>
        <w:t>that income in this context can only mean payments that can actually be made. Initial Brief</w:t>
      </w:r>
      <w:r>
        <w:rPr>
          <w:sz w:val="28"/>
          <w:szCs w:val="28"/>
        </w:rPr>
        <w:t xml:space="preserve"> at</w:t>
      </w:r>
      <w:r w:rsidRPr="0059293F">
        <w:rPr>
          <w:sz w:val="28"/>
          <w:szCs w:val="28"/>
        </w:rPr>
        <w:t xml:space="preserve"> 34–35.</w:t>
      </w:r>
      <w:r>
        <w:rPr>
          <w:sz w:val="28"/>
          <w:szCs w:val="28"/>
        </w:rPr>
        <w:t xml:space="preserve"> </w:t>
      </w:r>
    </w:p>
    <w:p w:rsidR="00330A81" w:rsidP="00330A81" w14:paraId="5A6C9270" w14:textId="2633C435">
      <w:pPr>
        <w:ind w:firstLine="720"/>
        <w:jc w:val="both"/>
        <w:rPr>
          <w:sz w:val="28"/>
          <w:szCs w:val="28"/>
        </w:rPr>
      </w:pPr>
      <w:r w:rsidRPr="0059293F">
        <w:rPr>
          <w:sz w:val="28"/>
          <w:szCs w:val="28"/>
        </w:rPr>
        <w:t xml:space="preserve">Further, the judicial authority identified by 3M bolsters the conclusion that Section 482 is unambiguous. </w:t>
      </w:r>
      <w:r w:rsidRPr="00FC0734">
        <w:rPr>
          <w:i/>
          <w:iCs/>
          <w:sz w:val="28"/>
          <w:szCs w:val="28"/>
        </w:rPr>
        <w:t>Id.</w:t>
      </w:r>
      <w:r w:rsidRPr="0059293F">
        <w:rPr>
          <w:sz w:val="28"/>
          <w:szCs w:val="28"/>
        </w:rPr>
        <w:t xml:space="preserve"> at 36–45. </w:t>
      </w:r>
      <w:r>
        <w:rPr>
          <w:sz w:val="28"/>
          <w:szCs w:val="28"/>
        </w:rPr>
        <w:t>I</w:t>
      </w:r>
      <w:r w:rsidRPr="0059293F">
        <w:rPr>
          <w:sz w:val="28"/>
          <w:szCs w:val="28"/>
        </w:rPr>
        <w:t xml:space="preserve">n </w:t>
      </w:r>
      <w:r w:rsidRPr="00FC0734">
        <w:rPr>
          <w:i/>
          <w:iCs/>
          <w:sz w:val="28"/>
          <w:szCs w:val="28"/>
        </w:rPr>
        <w:t>Commissioner v. First Security Bank of Utah, N.A.</w:t>
      </w:r>
      <w:r w:rsidRPr="0059293F">
        <w:rPr>
          <w:sz w:val="28"/>
          <w:szCs w:val="28"/>
        </w:rPr>
        <w:t xml:space="preserve">, </w:t>
      </w:r>
      <w:r>
        <w:rPr>
          <w:sz w:val="28"/>
          <w:szCs w:val="28"/>
        </w:rPr>
        <w:t xml:space="preserve">the Supreme Court </w:t>
      </w:r>
      <w:r w:rsidRPr="0059293F">
        <w:rPr>
          <w:sz w:val="28"/>
          <w:szCs w:val="28"/>
        </w:rPr>
        <w:t xml:space="preserve">explained that income necessarily means that the person must be able to receive the payment in order for it to be considered income.  403 U.S. 394, 403 (1972). In doing so, the Court concluded that Section 482 did not permit the IRS to allocate “income” to a taxpayer that legally could not be made—exactly what the IRS sought to do with the Blocked Income Rule. </w:t>
      </w:r>
      <w:r w:rsidRPr="00FC0734">
        <w:rPr>
          <w:i/>
          <w:iCs/>
          <w:sz w:val="28"/>
          <w:szCs w:val="28"/>
        </w:rPr>
        <w:t>Id.</w:t>
      </w:r>
      <w:r w:rsidRPr="0059293F">
        <w:rPr>
          <w:sz w:val="28"/>
          <w:szCs w:val="28"/>
        </w:rPr>
        <w:t xml:space="preserve"> at 401–06. Accordingly, NFTC agrees with 3M that the Tax Court erred in determining that Section 482 is ambiguous.</w:t>
      </w:r>
    </w:p>
    <w:p w:rsidR="00451CC0" w:rsidRPr="00330A81" w:rsidP="00451CC0" w14:paraId="564000C1" w14:textId="0E7B8F60">
      <w:pPr>
        <w:pStyle w:val="Heading3"/>
        <w:keepNext/>
        <w:spacing w:after="240" w:line="240" w:lineRule="auto"/>
      </w:pPr>
      <w:bookmarkStart w:id="12" w:name="_Toc158823202"/>
      <w:r>
        <w:t>T</w:t>
      </w:r>
      <w:r w:rsidR="005D2165">
        <w:t>he Blocked Income Rule leads to unjust results that Congress could not have intended.</w:t>
      </w:r>
      <w:bookmarkEnd w:id="12"/>
    </w:p>
    <w:p w:rsidR="00336DF1" w:rsidP="00451CC0" w14:paraId="61329298" w14:textId="7453444B">
      <w:pPr>
        <w:jc w:val="both"/>
        <w:rPr>
          <w:sz w:val="28"/>
          <w:szCs w:val="28"/>
        </w:rPr>
      </w:pPr>
      <w:r>
        <w:rPr>
          <w:sz w:val="28"/>
          <w:szCs w:val="28"/>
        </w:rPr>
        <w:tab/>
      </w:r>
      <w:r w:rsidR="00DC1F24">
        <w:rPr>
          <w:sz w:val="28"/>
          <w:szCs w:val="28"/>
        </w:rPr>
        <w:t xml:space="preserve">Assuming that the statute is ambiguous (it is not), </w:t>
      </w:r>
      <w:r w:rsidR="00DC1F24">
        <w:rPr>
          <w:i/>
          <w:iCs/>
          <w:sz w:val="28"/>
          <w:szCs w:val="28"/>
        </w:rPr>
        <w:t xml:space="preserve">Chevron </w:t>
      </w:r>
      <w:r w:rsidR="00DC1F24">
        <w:rPr>
          <w:sz w:val="28"/>
          <w:szCs w:val="28"/>
        </w:rPr>
        <w:t xml:space="preserve">step two requires courts to consider whether the regulation “is based on a permissible construction of the statute.” </w:t>
      </w:r>
      <w:r w:rsidR="00DC1F24">
        <w:rPr>
          <w:i/>
          <w:iCs/>
          <w:sz w:val="28"/>
          <w:szCs w:val="28"/>
        </w:rPr>
        <w:t>Chevron U.S.A., Inc. v. Nat. Res. Def. Council, Inc.</w:t>
      </w:r>
      <w:r w:rsidR="00DC1F24">
        <w:rPr>
          <w:sz w:val="28"/>
          <w:szCs w:val="28"/>
        </w:rPr>
        <w:t xml:space="preserve">, 467 U.S. 837, 843 (1984). </w:t>
      </w:r>
      <w:r w:rsidR="008E369D">
        <w:rPr>
          <w:sz w:val="28"/>
          <w:szCs w:val="28"/>
        </w:rPr>
        <w:t xml:space="preserve">In doing so, courts are instructed to determine “whether the same statutory text, history, and purpose permit the interpretation chosen by the agency.” </w:t>
      </w:r>
      <w:bookmarkStart w:id="13" w:name="OLE_LINK17"/>
      <w:r w:rsidR="008E369D">
        <w:rPr>
          <w:i/>
          <w:iCs/>
          <w:sz w:val="28"/>
          <w:szCs w:val="28"/>
        </w:rPr>
        <w:t>Ass’n for Cmty. Affiliated Plans v. U.S. Dep’t of Treasury</w:t>
      </w:r>
      <w:r w:rsidR="008E369D">
        <w:rPr>
          <w:sz w:val="28"/>
          <w:szCs w:val="28"/>
        </w:rPr>
        <w:t>, 392 F. Supp. 3d 22, 42 (D.D.C. 2019</w:t>
      </w:r>
      <w:bookmarkEnd w:id="13"/>
      <w:r w:rsidR="008E369D">
        <w:rPr>
          <w:sz w:val="28"/>
          <w:szCs w:val="28"/>
        </w:rPr>
        <w:t xml:space="preserve">). While the court may not substitute its own </w:t>
      </w:r>
      <w:r w:rsidR="00352B67">
        <w:rPr>
          <w:sz w:val="28"/>
          <w:szCs w:val="28"/>
        </w:rPr>
        <w:t>judgment</w:t>
      </w:r>
      <w:r w:rsidR="008E369D">
        <w:rPr>
          <w:sz w:val="28"/>
          <w:szCs w:val="28"/>
        </w:rPr>
        <w:t xml:space="preserve"> for that </w:t>
      </w:r>
      <w:r w:rsidR="00352B67">
        <w:rPr>
          <w:sz w:val="28"/>
          <w:szCs w:val="28"/>
        </w:rPr>
        <w:t>of</w:t>
      </w:r>
      <w:r w:rsidR="008E369D">
        <w:rPr>
          <w:sz w:val="28"/>
          <w:szCs w:val="28"/>
        </w:rPr>
        <w:t xml:space="preserve"> the agency,</w:t>
      </w:r>
      <w:r w:rsidR="00352B67">
        <w:rPr>
          <w:sz w:val="28"/>
          <w:szCs w:val="28"/>
        </w:rPr>
        <w:t xml:space="preserve"> </w:t>
      </w:r>
      <w:r w:rsidR="00352B67">
        <w:rPr>
          <w:i/>
          <w:iCs/>
          <w:sz w:val="28"/>
          <w:szCs w:val="28"/>
        </w:rPr>
        <w:t>Motor Veh. Mfrs. Ass’n</w:t>
      </w:r>
      <w:r w:rsidR="00465E6C">
        <w:rPr>
          <w:i/>
          <w:iCs/>
          <w:sz w:val="28"/>
          <w:szCs w:val="28"/>
        </w:rPr>
        <w:t xml:space="preserve"> v. State Farm Mut. Auto. Ins. Co.</w:t>
      </w:r>
      <w:r w:rsidR="00352B67">
        <w:rPr>
          <w:sz w:val="28"/>
          <w:szCs w:val="28"/>
        </w:rPr>
        <w:t>, 463 U.S. 29, 43 (1983),</w:t>
      </w:r>
      <w:r w:rsidR="008E369D">
        <w:rPr>
          <w:sz w:val="28"/>
          <w:szCs w:val="28"/>
        </w:rPr>
        <w:t xml:space="preserve"> the agency still must show that </w:t>
      </w:r>
      <w:r w:rsidR="00352B67">
        <w:rPr>
          <w:sz w:val="28"/>
          <w:szCs w:val="28"/>
        </w:rPr>
        <w:t xml:space="preserve">“the new policy is permissible under the statute, that there are good reasons for it, and that the agency believes it to be better, which the conscious change of course adequately indicates,” </w:t>
      </w:r>
      <w:r w:rsidR="00352B67">
        <w:rPr>
          <w:i/>
          <w:iCs/>
          <w:sz w:val="28"/>
          <w:szCs w:val="28"/>
        </w:rPr>
        <w:t>Fed. Commc’ns Comm’n v. Fox Television Stations, Inc.</w:t>
      </w:r>
      <w:r w:rsidR="00352B67">
        <w:rPr>
          <w:sz w:val="28"/>
          <w:szCs w:val="28"/>
        </w:rPr>
        <w:t>, 556 U.S. 502, 515 (2009).</w:t>
      </w:r>
      <w:r w:rsidR="0074308D">
        <w:rPr>
          <w:sz w:val="28"/>
          <w:szCs w:val="28"/>
        </w:rPr>
        <w:t xml:space="preserve"> </w:t>
      </w:r>
      <w:r w:rsidR="00465E6C">
        <w:rPr>
          <w:sz w:val="28"/>
          <w:szCs w:val="28"/>
        </w:rPr>
        <w:t>Thus, the agency</w:t>
      </w:r>
      <w:r w:rsidR="00330A81">
        <w:rPr>
          <w:sz w:val="28"/>
          <w:szCs w:val="28"/>
        </w:rPr>
        <w:t xml:space="preserve"> will </w:t>
      </w:r>
      <w:r w:rsidR="00465E6C">
        <w:rPr>
          <w:sz w:val="28"/>
          <w:szCs w:val="28"/>
        </w:rPr>
        <w:t xml:space="preserve">not receive any deference under </w:t>
      </w:r>
      <w:r w:rsidR="00465E6C">
        <w:rPr>
          <w:i/>
          <w:iCs/>
          <w:sz w:val="28"/>
          <w:szCs w:val="28"/>
        </w:rPr>
        <w:t>Chevron</w:t>
      </w:r>
      <w:r w:rsidR="00ED4499">
        <w:rPr>
          <w:i/>
          <w:iCs/>
          <w:sz w:val="28"/>
          <w:szCs w:val="28"/>
        </w:rPr>
        <w:t xml:space="preserve"> </w:t>
      </w:r>
      <w:r w:rsidR="00ED4499">
        <w:rPr>
          <w:sz w:val="28"/>
          <w:szCs w:val="28"/>
        </w:rPr>
        <w:t xml:space="preserve">when the regulation is unreasonable. </w:t>
      </w:r>
      <w:r w:rsidR="00ED4499">
        <w:rPr>
          <w:i/>
          <w:iCs/>
          <w:sz w:val="28"/>
          <w:szCs w:val="28"/>
        </w:rPr>
        <w:t xml:space="preserve">See, e.g., </w:t>
      </w:r>
      <w:bookmarkStart w:id="14" w:name="OLE_LINK15"/>
      <w:r w:rsidR="00ED4499">
        <w:rPr>
          <w:i/>
          <w:iCs/>
          <w:sz w:val="28"/>
          <w:szCs w:val="28"/>
        </w:rPr>
        <w:t xml:space="preserve">Good Fortune Shipping SA v. </w:t>
      </w:r>
      <w:r w:rsidR="009D239F">
        <w:rPr>
          <w:i/>
          <w:iCs/>
          <w:sz w:val="28"/>
          <w:szCs w:val="28"/>
        </w:rPr>
        <w:t>Commissioner</w:t>
      </w:r>
      <w:r w:rsidR="009D239F">
        <w:rPr>
          <w:sz w:val="28"/>
          <w:szCs w:val="28"/>
        </w:rPr>
        <w:t>,</w:t>
      </w:r>
      <w:r w:rsidR="00ED4499">
        <w:rPr>
          <w:sz w:val="28"/>
          <w:szCs w:val="28"/>
        </w:rPr>
        <w:t xml:space="preserve"> 897 F.3d 256, </w:t>
      </w:r>
      <w:r w:rsidR="009E2FCD">
        <w:rPr>
          <w:sz w:val="28"/>
          <w:szCs w:val="28"/>
        </w:rPr>
        <w:t xml:space="preserve">261–264 (D.C. Cir. 2018) </w:t>
      </w:r>
      <w:bookmarkEnd w:id="14"/>
      <w:r w:rsidR="009E2FCD">
        <w:rPr>
          <w:sz w:val="28"/>
          <w:szCs w:val="28"/>
        </w:rPr>
        <w:t>(holding that the IRS’s regulation was unreasonable because it conflicted with the plain language of the statute and it created unfair results for similarly-situated entities).</w:t>
      </w:r>
    </w:p>
    <w:p w:rsidR="00330A81" w:rsidRPr="00330A81" w:rsidP="00451CC0" w14:paraId="3E476160" w14:textId="69E6AA71">
      <w:pPr>
        <w:jc w:val="both"/>
        <w:rPr>
          <w:sz w:val="28"/>
          <w:szCs w:val="28"/>
        </w:rPr>
      </w:pPr>
      <w:r>
        <w:rPr>
          <w:sz w:val="28"/>
          <w:szCs w:val="28"/>
        </w:rPr>
        <w:tab/>
        <w:t xml:space="preserve">Applying those principles here, the Blocked Income Rule fails </w:t>
      </w:r>
      <w:r>
        <w:rPr>
          <w:i/>
          <w:iCs/>
          <w:sz w:val="28"/>
          <w:szCs w:val="28"/>
        </w:rPr>
        <w:t xml:space="preserve">Chevron </w:t>
      </w:r>
      <w:r>
        <w:rPr>
          <w:sz w:val="28"/>
          <w:szCs w:val="28"/>
        </w:rPr>
        <w:t xml:space="preserve">step 2 for several reasons. First, as real-world examples make clear, it is unfair and unreasonable for the IRS to reallocate foreign income to U.S. taxpayers that did not—and could not—receive that income. Second, the purpose </w:t>
      </w:r>
      <w:r w:rsidR="00375F0B">
        <w:rPr>
          <w:sz w:val="28"/>
          <w:szCs w:val="28"/>
        </w:rPr>
        <w:t xml:space="preserve">of the relevant Internal Revenue Code provision further supports the conclusion that Congress never intended companies to be faced with such perverse incentives—i.e., violate the law of a foreign </w:t>
      </w:r>
      <w:r w:rsidR="003850E8">
        <w:rPr>
          <w:sz w:val="28"/>
          <w:szCs w:val="28"/>
        </w:rPr>
        <w:t xml:space="preserve">country </w:t>
      </w:r>
      <w:r w:rsidR="00375F0B">
        <w:rPr>
          <w:sz w:val="28"/>
          <w:szCs w:val="28"/>
        </w:rPr>
        <w:t xml:space="preserve">or suffer adverse consequences, </w:t>
      </w:r>
      <w:r w:rsidR="003850E8">
        <w:rPr>
          <w:sz w:val="28"/>
          <w:szCs w:val="28"/>
        </w:rPr>
        <w:t>such as</w:t>
      </w:r>
      <w:r w:rsidR="00375F0B">
        <w:rPr>
          <w:sz w:val="28"/>
          <w:szCs w:val="28"/>
        </w:rPr>
        <w:t xml:space="preserve"> double taxation.</w:t>
      </w:r>
    </w:p>
    <w:p w:rsidR="00C40CA5" w:rsidP="00451CC0" w14:paraId="361130A0" w14:textId="29226397">
      <w:pPr>
        <w:jc w:val="both"/>
        <w:rPr>
          <w:sz w:val="28"/>
          <w:szCs w:val="28"/>
        </w:rPr>
      </w:pPr>
      <w:r>
        <w:rPr>
          <w:sz w:val="28"/>
          <w:szCs w:val="28"/>
        </w:rPr>
        <w:tab/>
      </w:r>
      <w:r w:rsidRPr="00451CC0" w:rsidR="00451CC0">
        <w:rPr>
          <w:sz w:val="28"/>
          <w:szCs w:val="28"/>
        </w:rPr>
        <w:t>A consumer</w:t>
      </w:r>
      <w:r w:rsidR="00FD11F3">
        <w:rPr>
          <w:sz w:val="28"/>
          <w:szCs w:val="28"/>
        </w:rPr>
        <w:t xml:space="preserve"> goods</w:t>
      </w:r>
      <w:r w:rsidRPr="00451CC0" w:rsidR="00451CC0">
        <w:rPr>
          <w:sz w:val="28"/>
          <w:szCs w:val="28"/>
        </w:rPr>
        <w:t xml:space="preserve"> manufacturing company</w:t>
      </w:r>
      <w:r w:rsidR="00375F0B">
        <w:rPr>
          <w:sz w:val="28"/>
          <w:szCs w:val="28"/>
        </w:rPr>
        <w:t xml:space="preserve"> (“Company”)</w:t>
      </w:r>
      <w:r>
        <w:rPr>
          <w:sz w:val="28"/>
          <w:szCs w:val="28"/>
        </w:rPr>
        <w:t xml:space="preserve">, an NFTC member, </w:t>
      </w:r>
      <w:r w:rsidR="007C3DBE">
        <w:rPr>
          <w:sz w:val="28"/>
          <w:szCs w:val="28"/>
        </w:rPr>
        <w:t>illustrates t</w:t>
      </w:r>
      <w:r w:rsidR="00416457">
        <w:rPr>
          <w:sz w:val="28"/>
          <w:szCs w:val="28"/>
        </w:rPr>
        <w:t xml:space="preserve">he </w:t>
      </w:r>
      <w:r w:rsidR="0081526D">
        <w:rPr>
          <w:sz w:val="28"/>
          <w:szCs w:val="28"/>
        </w:rPr>
        <w:t xml:space="preserve">unfair and unreasonable </w:t>
      </w:r>
      <w:r w:rsidR="007C3DBE">
        <w:rPr>
          <w:sz w:val="28"/>
          <w:szCs w:val="28"/>
        </w:rPr>
        <w:t>dilemma that companies are now faced with due to the Blocked Income Rule</w:t>
      </w:r>
      <w:r w:rsidRPr="00451CC0" w:rsidR="00451CC0">
        <w:rPr>
          <w:sz w:val="28"/>
          <w:szCs w:val="28"/>
        </w:rPr>
        <w:t xml:space="preserve">. </w:t>
      </w:r>
      <w:r w:rsidR="00FD11F3">
        <w:rPr>
          <w:sz w:val="28"/>
          <w:szCs w:val="28"/>
        </w:rPr>
        <w:t xml:space="preserve">The </w:t>
      </w:r>
      <w:r w:rsidR="00375F0B">
        <w:rPr>
          <w:sz w:val="28"/>
          <w:szCs w:val="28"/>
        </w:rPr>
        <w:t>Company</w:t>
      </w:r>
      <w:r w:rsidR="00FD11F3">
        <w:rPr>
          <w:sz w:val="28"/>
          <w:szCs w:val="28"/>
        </w:rPr>
        <w:t xml:space="preserve"> owns valuable trademarks, patents, and technical know-how that are located in the United States.</w:t>
      </w:r>
      <w:r w:rsidR="001B5C27">
        <w:rPr>
          <w:sz w:val="28"/>
          <w:szCs w:val="28"/>
        </w:rPr>
        <w:t xml:space="preserve"> In order to allow foreign subsidiaries to sell products in their local jurisdiction, t</w:t>
      </w:r>
      <w:r w:rsidR="00FD11F3">
        <w:rPr>
          <w:sz w:val="28"/>
          <w:szCs w:val="28"/>
        </w:rPr>
        <w:t xml:space="preserve">he </w:t>
      </w:r>
      <w:r w:rsidR="00375F0B">
        <w:rPr>
          <w:sz w:val="28"/>
          <w:szCs w:val="28"/>
        </w:rPr>
        <w:t>Company</w:t>
      </w:r>
      <w:r w:rsidR="00FD11F3">
        <w:rPr>
          <w:sz w:val="28"/>
          <w:szCs w:val="28"/>
        </w:rPr>
        <w:t xml:space="preserve">’s U.S. operations license this intellectual property to their foreign subsidiaries. Most subsidiaries license the intellectual property for a royalty rate of up to 10 percent of sales of consumer goods.  </w:t>
      </w:r>
    </w:p>
    <w:p w:rsidR="00391DDF" w:rsidP="00451CC0" w14:paraId="2D5DB149" w14:textId="51259767">
      <w:pPr>
        <w:jc w:val="both"/>
        <w:rPr>
          <w:sz w:val="28"/>
          <w:szCs w:val="28"/>
        </w:rPr>
      </w:pPr>
      <w:r>
        <w:rPr>
          <w:sz w:val="28"/>
          <w:szCs w:val="28"/>
        </w:rPr>
        <w:tab/>
      </w:r>
      <w:r w:rsidR="00FD11F3">
        <w:rPr>
          <w:sz w:val="28"/>
          <w:szCs w:val="28"/>
        </w:rPr>
        <w:t xml:space="preserve">The </w:t>
      </w:r>
      <w:r w:rsidR="00375F0B">
        <w:rPr>
          <w:sz w:val="28"/>
          <w:szCs w:val="28"/>
        </w:rPr>
        <w:t>Company</w:t>
      </w:r>
      <w:r w:rsidR="00FD11F3">
        <w:rPr>
          <w:sz w:val="28"/>
          <w:szCs w:val="28"/>
        </w:rPr>
        <w:t xml:space="preserve">, however, </w:t>
      </w:r>
      <w:r w:rsidR="001B5230">
        <w:rPr>
          <w:sz w:val="28"/>
          <w:szCs w:val="28"/>
        </w:rPr>
        <w:t xml:space="preserve">cannot always guarantee that the foreign subsidiaries will be able to pay the </w:t>
      </w:r>
      <w:r w:rsidR="001A796B">
        <w:rPr>
          <w:sz w:val="28"/>
          <w:szCs w:val="28"/>
        </w:rPr>
        <w:t>royalty rate of up to 10 percent of sales of consumer goods</w:t>
      </w:r>
      <w:r w:rsidR="001B5230">
        <w:rPr>
          <w:sz w:val="28"/>
          <w:szCs w:val="28"/>
        </w:rPr>
        <w:t xml:space="preserve"> due to foreign legal restrictions. </w:t>
      </w:r>
      <w:r w:rsidR="00554D11">
        <w:rPr>
          <w:sz w:val="28"/>
          <w:szCs w:val="28"/>
        </w:rPr>
        <w:t xml:space="preserve">For example, in countries such as </w:t>
      </w:r>
      <w:r w:rsidRPr="00451CC0" w:rsidR="00451CC0">
        <w:rPr>
          <w:sz w:val="28"/>
          <w:szCs w:val="28"/>
        </w:rPr>
        <w:t>Nigeria, Ghana, and Pakistan</w:t>
      </w:r>
      <w:r w:rsidR="00554D11">
        <w:rPr>
          <w:sz w:val="28"/>
          <w:szCs w:val="28"/>
        </w:rPr>
        <w:t xml:space="preserve">, the </w:t>
      </w:r>
      <w:r w:rsidR="003850E8">
        <w:rPr>
          <w:sz w:val="28"/>
          <w:szCs w:val="28"/>
        </w:rPr>
        <w:t>C</w:t>
      </w:r>
      <w:r w:rsidR="00554D11">
        <w:rPr>
          <w:sz w:val="28"/>
          <w:szCs w:val="28"/>
        </w:rPr>
        <w:t>ompany</w:t>
      </w:r>
      <w:r w:rsidRPr="00451CC0" w:rsidR="00451CC0">
        <w:rPr>
          <w:sz w:val="28"/>
          <w:szCs w:val="28"/>
        </w:rPr>
        <w:t xml:space="preserve"> must seek approval for the charged royalty rates from the local regulatory bod</w:t>
      </w:r>
      <w:r w:rsidR="00554D11">
        <w:rPr>
          <w:sz w:val="28"/>
          <w:szCs w:val="28"/>
        </w:rPr>
        <w:t>ies.</w:t>
      </w:r>
      <w:r w:rsidR="0083240F">
        <w:rPr>
          <w:sz w:val="28"/>
          <w:szCs w:val="28"/>
        </w:rPr>
        <w:t xml:space="preserve"> </w:t>
      </w:r>
    </w:p>
    <w:p w:rsidR="00391DDF" w:rsidP="00451CC0" w14:paraId="6AA8D041" w14:textId="5667A539">
      <w:pPr>
        <w:jc w:val="both"/>
        <w:rPr>
          <w:sz w:val="28"/>
          <w:szCs w:val="28"/>
        </w:rPr>
      </w:pPr>
      <w:r>
        <w:rPr>
          <w:sz w:val="28"/>
          <w:szCs w:val="28"/>
        </w:rPr>
        <w:tab/>
      </w:r>
      <w:r w:rsidR="000D5897">
        <w:rPr>
          <w:sz w:val="28"/>
          <w:szCs w:val="28"/>
        </w:rPr>
        <w:t xml:space="preserve">In Nigeria, </w:t>
      </w:r>
      <w:r w:rsidR="00B14139">
        <w:rPr>
          <w:sz w:val="28"/>
          <w:szCs w:val="28"/>
        </w:rPr>
        <w:t>a</w:t>
      </w:r>
      <w:r w:rsidR="00F71AF0">
        <w:rPr>
          <w:sz w:val="28"/>
          <w:szCs w:val="28"/>
        </w:rPr>
        <w:t xml:space="preserve"> local regulatory agency called</w:t>
      </w:r>
      <w:r>
        <w:rPr>
          <w:sz w:val="28"/>
          <w:szCs w:val="28"/>
        </w:rPr>
        <w:t xml:space="preserve"> the National Office for Technology Acquisition and Promotion</w:t>
      </w:r>
      <w:r w:rsidR="00F71AF0">
        <w:rPr>
          <w:sz w:val="28"/>
          <w:szCs w:val="28"/>
        </w:rPr>
        <w:t xml:space="preserve"> (“NOTAP”) must approve of the requested royalty rate</w:t>
      </w:r>
      <w:r w:rsidR="000D5897">
        <w:rPr>
          <w:sz w:val="28"/>
          <w:szCs w:val="28"/>
        </w:rPr>
        <w:t>.</w:t>
      </w:r>
      <w:r w:rsidR="00F71AF0">
        <w:rPr>
          <w:sz w:val="28"/>
          <w:szCs w:val="28"/>
        </w:rPr>
        <w:t xml:space="preserve">  </w:t>
      </w:r>
      <w:r w:rsidR="00D5282F">
        <w:rPr>
          <w:sz w:val="28"/>
          <w:szCs w:val="28"/>
        </w:rPr>
        <w:t xml:space="preserve">NOTAP registers technology transfer agreements in </w:t>
      </w:r>
      <w:r w:rsidR="007C25DE">
        <w:rPr>
          <w:sz w:val="28"/>
          <w:szCs w:val="28"/>
        </w:rPr>
        <w:t xml:space="preserve">manufacturing, information and communication technology, finance and insurance, and many other industry sectors. </w:t>
      </w:r>
      <w:r w:rsidRPr="00D831DA" w:rsidR="00D831DA">
        <w:rPr>
          <w:i/>
          <w:iCs/>
          <w:sz w:val="28"/>
          <w:szCs w:val="28"/>
        </w:rPr>
        <w:t>Updated Requirements for the Registration of Technology Transfer Agreements</w:t>
      </w:r>
      <w:r w:rsidR="00D831DA">
        <w:rPr>
          <w:sz w:val="28"/>
          <w:szCs w:val="28"/>
        </w:rPr>
        <w:t xml:space="preserve">, </w:t>
      </w:r>
      <w:r w:rsidRPr="00D831DA" w:rsidR="00D831DA">
        <w:rPr>
          <w:smallCaps/>
          <w:sz w:val="28"/>
          <w:szCs w:val="28"/>
        </w:rPr>
        <w:t>Nat</w:t>
      </w:r>
      <w:r w:rsidR="00D831DA">
        <w:rPr>
          <w:smallCaps/>
          <w:sz w:val="28"/>
          <w:szCs w:val="28"/>
        </w:rPr>
        <w:t>’l</w:t>
      </w:r>
      <w:r w:rsidRPr="00D831DA" w:rsidR="00D831DA">
        <w:rPr>
          <w:smallCaps/>
          <w:sz w:val="28"/>
          <w:szCs w:val="28"/>
        </w:rPr>
        <w:t xml:space="preserve"> Off</w:t>
      </w:r>
      <w:r w:rsidR="00D831DA">
        <w:rPr>
          <w:smallCaps/>
          <w:sz w:val="28"/>
          <w:szCs w:val="28"/>
        </w:rPr>
        <w:t>.</w:t>
      </w:r>
      <w:r w:rsidRPr="00D831DA" w:rsidR="00D831DA">
        <w:rPr>
          <w:smallCaps/>
          <w:sz w:val="28"/>
          <w:szCs w:val="28"/>
        </w:rPr>
        <w:t xml:space="preserve"> for Tech</w:t>
      </w:r>
      <w:r w:rsidR="00D831DA">
        <w:rPr>
          <w:smallCaps/>
          <w:sz w:val="28"/>
          <w:szCs w:val="28"/>
        </w:rPr>
        <w:t>.</w:t>
      </w:r>
      <w:r w:rsidRPr="00D831DA" w:rsidR="00D831DA">
        <w:rPr>
          <w:smallCaps/>
          <w:sz w:val="28"/>
          <w:szCs w:val="28"/>
        </w:rPr>
        <w:t xml:space="preserve"> Acquisition and Promotion,</w:t>
      </w:r>
      <w:r w:rsidR="007C25DE">
        <w:rPr>
          <w:sz w:val="28"/>
          <w:szCs w:val="28"/>
        </w:rPr>
        <w:t xml:space="preserve"> </w:t>
      </w:r>
      <w:r w:rsidRPr="000A4210" w:rsidR="000A4210">
        <w:rPr>
          <w:sz w:val="28"/>
          <w:szCs w:val="28"/>
        </w:rPr>
        <w:t>https://perma.cc/CRL4-3XJL</w:t>
      </w:r>
      <w:r w:rsidRPr="007C25DE" w:rsidR="007C25DE">
        <w:rPr>
          <w:sz w:val="28"/>
          <w:szCs w:val="28"/>
        </w:rPr>
        <w:t xml:space="preserve">. </w:t>
      </w:r>
      <w:r w:rsidR="00F71AF0">
        <w:rPr>
          <w:sz w:val="28"/>
          <w:szCs w:val="28"/>
        </w:rPr>
        <w:t xml:space="preserve">During this process, NOTAP requires that the Company </w:t>
      </w:r>
      <w:r w:rsidR="000A4210">
        <w:rPr>
          <w:sz w:val="28"/>
          <w:szCs w:val="28"/>
        </w:rPr>
        <w:t xml:space="preserve">submit an application that includes the trademark license, net sales of locally manufactured goods that </w:t>
      </w:r>
      <w:r w:rsidR="00B14139">
        <w:rPr>
          <w:sz w:val="28"/>
          <w:szCs w:val="28"/>
        </w:rPr>
        <w:t>are</w:t>
      </w:r>
      <w:r w:rsidR="000A4210">
        <w:rPr>
          <w:sz w:val="28"/>
          <w:szCs w:val="28"/>
        </w:rPr>
        <w:t xml:space="preserve"> covered by the trademark, ownership structure of the company, evidence of </w:t>
      </w:r>
      <w:r w:rsidR="0055533B">
        <w:rPr>
          <w:sz w:val="28"/>
          <w:szCs w:val="28"/>
        </w:rPr>
        <w:t>registration</w:t>
      </w:r>
      <w:r w:rsidR="000A4210">
        <w:rPr>
          <w:sz w:val="28"/>
          <w:szCs w:val="28"/>
        </w:rPr>
        <w:t xml:space="preserve"> of trademark locally and internationally</w:t>
      </w:r>
      <w:r w:rsidR="0055533B">
        <w:rPr>
          <w:sz w:val="28"/>
          <w:szCs w:val="28"/>
        </w:rPr>
        <w:t>, and all other documents as contained in the Know-How agreement</w:t>
      </w:r>
      <w:r w:rsidR="000A4210">
        <w:rPr>
          <w:sz w:val="28"/>
          <w:szCs w:val="28"/>
        </w:rPr>
        <w:t xml:space="preserve">. </w:t>
      </w:r>
      <w:r w:rsidR="000A4210">
        <w:rPr>
          <w:i/>
          <w:iCs/>
          <w:sz w:val="28"/>
          <w:szCs w:val="28"/>
        </w:rPr>
        <w:t xml:space="preserve">Id. </w:t>
      </w:r>
      <w:r w:rsidR="000A4210">
        <w:rPr>
          <w:sz w:val="28"/>
          <w:szCs w:val="28"/>
        </w:rPr>
        <w:t xml:space="preserve">Thus, the Company must be able to </w:t>
      </w:r>
      <w:r w:rsidRPr="000A4210" w:rsidR="00F71AF0">
        <w:rPr>
          <w:sz w:val="28"/>
          <w:szCs w:val="28"/>
        </w:rPr>
        <w:t>show</w:t>
      </w:r>
      <w:r w:rsidR="00F71AF0">
        <w:rPr>
          <w:sz w:val="28"/>
          <w:szCs w:val="28"/>
        </w:rPr>
        <w:t xml:space="preserve"> the benefit coming into the countr</w:t>
      </w:r>
      <w:r w:rsidR="000A4210">
        <w:rPr>
          <w:sz w:val="28"/>
          <w:szCs w:val="28"/>
        </w:rPr>
        <w:t>y</w:t>
      </w:r>
      <w:r w:rsidR="00F71AF0">
        <w:rPr>
          <w:sz w:val="28"/>
          <w:szCs w:val="28"/>
        </w:rPr>
        <w:t>.</w:t>
      </w:r>
      <w:r w:rsidR="000D5897">
        <w:rPr>
          <w:sz w:val="28"/>
          <w:szCs w:val="28"/>
        </w:rPr>
        <w:t xml:space="preserve"> </w:t>
      </w:r>
      <w:r w:rsidR="00D5282F">
        <w:rPr>
          <w:sz w:val="28"/>
          <w:szCs w:val="28"/>
        </w:rPr>
        <w:t xml:space="preserve"> </w:t>
      </w:r>
    </w:p>
    <w:p w:rsidR="00AE34D3" w:rsidRPr="00B720D7" w:rsidP="00451CC0" w14:paraId="245723E7" w14:textId="7378B02B">
      <w:pPr>
        <w:jc w:val="both"/>
        <w:rPr>
          <w:i/>
          <w:iCs/>
          <w:sz w:val="28"/>
          <w:szCs w:val="28"/>
        </w:rPr>
      </w:pPr>
      <w:r>
        <w:rPr>
          <w:sz w:val="28"/>
          <w:szCs w:val="28"/>
        </w:rPr>
        <w:tab/>
      </w:r>
      <w:r w:rsidR="000D5897">
        <w:rPr>
          <w:sz w:val="28"/>
          <w:szCs w:val="28"/>
        </w:rPr>
        <w:t>Similarly</w:t>
      </w:r>
      <w:r>
        <w:rPr>
          <w:sz w:val="28"/>
          <w:szCs w:val="28"/>
        </w:rPr>
        <w:t xml:space="preserve">, </w:t>
      </w:r>
      <w:r w:rsidR="00F71AF0">
        <w:rPr>
          <w:sz w:val="28"/>
          <w:szCs w:val="28"/>
        </w:rPr>
        <w:t xml:space="preserve">the </w:t>
      </w:r>
      <w:r>
        <w:rPr>
          <w:sz w:val="28"/>
          <w:szCs w:val="28"/>
        </w:rPr>
        <w:t xml:space="preserve">Ghana Investment Promotion Centre </w:t>
      </w:r>
      <w:r w:rsidR="00F71AF0">
        <w:rPr>
          <w:sz w:val="28"/>
          <w:szCs w:val="28"/>
        </w:rPr>
        <w:t xml:space="preserve">(“GIPC”)—a separate governmental body—requires the Company to also seek approval of the royalty rate. </w:t>
      </w:r>
      <w:r w:rsidR="00F61725">
        <w:rPr>
          <w:sz w:val="28"/>
          <w:szCs w:val="28"/>
        </w:rPr>
        <w:t xml:space="preserve">In Ghana, the technology transfer agreements </w:t>
      </w:r>
      <w:r w:rsidR="004A20A8">
        <w:rPr>
          <w:sz w:val="28"/>
          <w:szCs w:val="28"/>
        </w:rPr>
        <w:t>must abide by and be compliant with the Ghana Inve</w:t>
      </w:r>
      <w:r w:rsidR="00EB0465">
        <w:rPr>
          <w:sz w:val="28"/>
          <w:szCs w:val="28"/>
        </w:rPr>
        <w:t>stment Promotion Centre Act, 2013 (Act 865) (“GIPC</w:t>
      </w:r>
      <w:r w:rsidR="00EA6D87">
        <w:rPr>
          <w:sz w:val="28"/>
          <w:szCs w:val="28"/>
        </w:rPr>
        <w:t xml:space="preserve"> Act</w:t>
      </w:r>
      <w:r w:rsidR="00EB0465">
        <w:rPr>
          <w:sz w:val="28"/>
          <w:szCs w:val="28"/>
        </w:rPr>
        <w:t xml:space="preserve">”) and the Technology Transfer Regulations, 1992 (L.I. 1547). </w:t>
      </w:r>
      <w:r w:rsidR="00B720D7">
        <w:rPr>
          <w:i/>
          <w:iCs/>
          <w:sz w:val="28"/>
          <w:szCs w:val="28"/>
        </w:rPr>
        <w:t>Technology Transfer Agreements</w:t>
      </w:r>
      <w:r w:rsidR="00B720D7">
        <w:rPr>
          <w:sz w:val="28"/>
          <w:szCs w:val="28"/>
        </w:rPr>
        <w:t xml:space="preserve">, </w:t>
      </w:r>
      <w:r w:rsidRPr="00B720D7" w:rsidR="00B720D7">
        <w:rPr>
          <w:smallCaps/>
          <w:sz w:val="28"/>
          <w:szCs w:val="28"/>
        </w:rPr>
        <w:t>Ghana Inv</w:t>
      </w:r>
      <w:r w:rsidR="00B720D7">
        <w:rPr>
          <w:smallCaps/>
          <w:sz w:val="28"/>
          <w:szCs w:val="28"/>
        </w:rPr>
        <w:t>.</w:t>
      </w:r>
      <w:r w:rsidRPr="00B720D7" w:rsidR="00B720D7">
        <w:rPr>
          <w:smallCaps/>
          <w:sz w:val="28"/>
          <w:szCs w:val="28"/>
        </w:rPr>
        <w:t xml:space="preserve"> Promotion Centre</w:t>
      </w:r>
      <w:r w:rsidR="00B720D7">
        <w:rPr>
          <w:sz w:val="28"/>
          <w:szCs w:val="28"/>
        </w:rPr>
        <w:t>,</w:t>
      </w:r>
      <w:r w:rsidR="00B720D7">
        <w:rPr>
          <w:i/>
          <w:iCs/>
          <w:sz w:val="28"/>
          <w:szCs w:val="28"/>
        </w:rPr>
        <w:t xml:space="preserve"> </w:t>
      </w:r>
      <w:r w:rsidRPr="00B720D7" w:rsidR="00B720D7">
        <w:rPr>
          <w:sz w:val="28"/>
          <w:szCs w:val="28"/>
        </w:rPr>
        <w:t>https://www.gipc.gov.gh/</w:t>
      </w:r>
      <w:r w:rsidR="00B720D7">
        <w:rPr>
          <w:sz w:val="28"/>
          <w:szCs w:val="28"/>
        </w:rPr>
        <w:t xml:space="preserve"> </w:t>
      </w:r>
      <w:r w:rsidRPr="00EB0465" w:rsidR="00EB0465">
        <w:rPr>
          <w:sz w:val="28"/>
          <w:szCs w:val="28"/>
        </w:rPr>
        <w:t>technology-transfer-agreements/</w:t>
      </w:r>
      <w:r w:rsidR="00EB0465">
        <w:rPr>
          <w:sz w:val="28"/>
          <w:szCs w:val="28"/>
        </w:rPr>
        <w:t>. Under the GIPC</w:t>
      </w:r>
      <w:r w:rsidR="00EA6D87">
        <w:rPr>
          <w:sz w:val="28"/>
          <w:szCs w:val="28"/>
        </w:rPr>
        <w:t xml:space="preserve"> Act</w:t>
      </w:r>
      <w:r w:rsidR="00EB0465">
        <w:rPr>
          <w:sz w:val="28"/>
          <w:szCs w:val="28"/>
        </w:rPr>
        <w:t>, there are four main types of technology transfer agreement: intellectual property rights; provision technical services and assistance; provision of technical know-how to acquire, install, and use machinery; and provision of management services.</w:t>
      </w:r>
      <w:r w:rsidR="00B720D7">
        <w:rPr>
          <w:sz w:val="28"/>
          <w:szCs w:val="28"/>
        </w:rPr>
        <w:t xml:space="preserve"> </w:t>
      </w:r>
      <w:r w:rsidR="00B720D7">
        <w:rPr>
          <w:i/>
          <w:iCs/>
          <w:sz w:val="28"/>
          <w:szCs w:val="28"/>
        </w:rPr>
        <w:t>Id.</w:t>
      </w:r>
      <w:r w:rsidR="00CA7B01">
        <w:rPr>
          <w:sz w:val="28"/>
          <w:szCs w:val="28"/>
        </w:rPr>
        <w:t xml:space="preserve"> The application process is quite extensive, and if the Company’s submitted application is non-compliant, then the Company only has two months to correct any deficiency.</w:t>
      </w:r>
      <w:r w:rsidR="00B720D7">
        <w:rPr>
          <w:sz w:val="28"/>
          <w:szCs w:val="28"/>
        </w:rPr>
        <w:t xml:space="preserve"> </w:t>
      </w:r>
      <w:r w:rsidR="00B720D7">
        <w:rPr>
          <w:i/>
          <w:iCs/>
          <w:sz w:val="28"/>
          <w:szCs w:val="28"/>
        </w:rPr>
        <w:t>Id.</w:t>
      </w:r>
    </w:p>
    <w:p w:rsidR="00F61725" w:rsidP="00451CC0" w14:paraId="1CDF7276" w14:textId="0D632D8F">
      <w:pPr>
        <w:jc w:val="both"/>
        <w:rPr>
          <w:sz w:val="28"/>
          <w:szCs w:val="28"/>
        </w:rPr>
      </w:pPr>
      <w:r>
        <w:rPr>
          <w:sz w:val="28"/>
          <w:szCs w:val="28"/>
        </w:rPr>
        <w:tab/>
      </w:r>
      <w:r w:rsidR="00BD52AA">
        <w:rPr>
          <w:sz w:val="28"/>
          <w:szCs w:val="28"/>
        </w:rPr>
        <w:t>The</w:t>
      </w:r>
      <w:r w:rsidR="000D5897">
        <w:rPr>
          <w:sz w:val="28"/>
          <w:szCs w:val="28"/>
        </w:rPr>
        <w:t xml:space="preserve"> </w:t>
      </w:r>
      <w:r w:rsidR="00BD52AA">
        <w:rPr>
          <w:sz w:val="28"/>
          <w:szCs w:val="28"/>
        </w:rPr>
        <w:t>State Bank o</w:t>
      </w:r>
      <w:r w:rsidR="000D5897">
        <w:rPr>
          <w:sz w:val="28"/>
          <w:szCs w:val="28"/>
        </w:rPr>
        <w:t xml:space="preserve">f Pakistan </w:t>
      </w:r>
      <w:r w:rsidR="00BD52AA">
        <w:rPr>
          <w:sz w:val="28"/>
          <w:szCs w:val="28"/>
        </w:rPr>
        <w:t xml:space="preserve">(“State Bank”) </w:t>
      </w:r>
      <w:r w:rsidR="00391DDF">
        <w:rPr>
          <w:sz w:val="28"/>
          <w:szCs w:val="28"/>
        </w:rPr>
        <w:t>also has a similar process that requires the Company to seek approval of its requested royalty rate</w:t>
      </w:r>
      <w:r w:rsidR="000D5897">
        <w:rPr>
          <w:sz w:val="28"/>
          <w:szCs w:val="28"/>
        </w:rPr>
        <w:t xml:space="preserve">. </w:t>
      </w:r>
      <w:r w:rsidR="00BD52AA">
        <w:rPr>
          <w:sz w:val="28"/>
          <w:szCs w:val="28"/>
        </w:rPr>
        <w:t>The State Bank requires that the</w:t>
      </w:r>
      <w:r w:rsidR="00487E1B">
        <w:rPr>
          <w:sz w:val="28"/>
          <w:szCs w:val="28"/>
        </w:rPr>
        <w:t xml:space="preserve"> Company’s</w:t>
      </w:r>
      <w:r w:rsidR="00BD52AA">
        <w:rPr>
          <w:sz w:val="28"/>
          <w:szCs w:val="28"/>
        </w:rPr>
        <w:t xml:space="preserve"> application for remittance of the royalty or </w:t>
      </w:r>
      <w:r w:rsidR="00487E1B">
        <w:rPr>
          <w:sz w:val="28"/>
          <w:szCs w:val="28"/>
        </w:rPr>
        <w:t>technical fee is submitted to the Foreign Exchange Department – Investment Division in Karachi.</w:t>
      </w:r>
      <w:r w:rsidR="00090FFF">
        <w:rPr>
          <w:sz w:val="28"/>
          <w:szCs w:val="28"/>
        </w:rPr>
        <w:t xml:space="preserve"> </w:t>
      </w:r>
      <w:r w:rsidR="00B720D7">
        <w:rPr>
          <w:i/>
          <w:iCs/>
          <w:sz w:val="28"/>
          <w:szCs w:val="28"/>
        </w:rPr>
        <w:t>Agreements for Transfer of Tech. Payment of Royalty/Technical Fee to the Foreign Collaborators</w:t>
      </w:r>
      <w:r w:rsidR="00B720D7">
        <w:rPr>
          <w:sz w:val="28"/>
          <w:szCs w:val="28"/>
        </w:rPr>
        <w:t xml:space="preserve">, </w:t>
      </w:r>
      <w:r w:rsidRPr="00B720D7" w:rsidR="00B720D7">
        <w:rPr>
          <w:smallCaps/>
          <w:sz w:val="28"/>
          <w:szCs w:val="28"/>
        </w:rPr>
        <w:t>State Bank of Pakistan</w:t>
      </w:r>
      <w:r w:rsidR="00B720D7">
        <w:rPr>
          <w:sz w:val="28"/>
          <w:szCs w:val="28"/>
        </w:rPr>
        <w:t>,</w:t>
      </w:r>
      <w:r w:rsidR="00B720D7">
        <w:rPr>
          <w:i/>
          <w:iCs/>
          <w:sz w:val="28"/>
          <w:szCs w:val="28"/>
        </w:rPr>
        <w:t xml:space="preserve">  </w:t>
      </w:r>
      <w:r w:rsidRPr="00B720D7" w:rsidR="00B720D7">
        <w:rPr>
          <w:sz w:val="28"/>
          <w:szCs w:val="28"/>
        </w:rPr>
        <w:t>https://www.sbp.org.pk/epd/</w:t>
      </w:r>
      <w:r w:rsidR="00B720D7">
        <w:rPr>
          <w:sz w:val="28"/>
          <w:szCs w:val="28"/>
        </w:rPr>
        <w:t xml:space="preserve"> </w:t>
      </w:r>
      <w:r w:rsidRPr="00090FFF" w:rsidR="00090FFF">
        <w:rPr>
          <w:sz w:val="28"/>
          <w:szCs w:val="28"/>
        </w:rPr>
        <w:t>1992/c101.htm</w:t>
      </w:r>
      <w:r w:rsidR="00EA6D87">
        <w:rPr>
          <w:sz w:val="28"/>
          <w:szCs w:val="28"/>
        </w:rPr>
        <w:t>.</w:t>
      </w:r>
      <w:r w:rsidR="00487E1B">
        <w:rPr>
          <w:sz w:val="28"/>
          <w:szCs w:val="28"/>
        </w:rPr>
        <w:t xml:space="preserve"> Once it is received and reviewed, the State Bank will record the application if it complies with the </w:t>
      </w:r>
      <w:r w:rsidR="00090FFF">
        <w:rPr>
          <w:sz w:val="28"/>
          <w:szCs w:val="28"/>
        </w:rPr>
        <w:t>requisite rules.</w:t>
      </w:r>
    </w:p>
    <w:p w:rsidR="000C2054" w:rsidP="00451CC0" w14:paraId="769C4AFE" w14:textId="058661F6">
      <w:pPr>
        <w:jc w:val="both"/>
        <w:rPr>
          <w:sz w:val="28"/>
          <w:szCs w:val="28"/>
        </w:rPr>
      </w:pPr>
      <w:r>
        <w:rPr>
          <w:sz w:val="28"/>
          <w:szCs w:val="28"/>
        </w:rPr>
        <w:tab/>
      </w:r>
      <w:r w:rsidR="000D5897">
        <w:rPr>
          <w:sz w:val="28"/>
          <w:szCs w:val="28"/>
        </w:rPr>
        <w:t>For each country</w:t>
      </w:r>
      <w:r w:rsidR="005F6200">
        <w:rPr>
          <w:sz w:val="28"/>
          <w:szCs w:val="28"/>
        </w:rPr>
        <w:t>,</w:t>
      </w:r>
      <w:r w:rsidR="000D5897">
        <w:rPr>
          <w:sz w:val="28"/>
          <w:szCs w:val="28"/>
        </w:rPr>
        <w:t xml:space="preserve"> </w:t>
      </w:r>
      <w:r w:rsidR="0083240F">
        <w:rPr>
          <w:sz w:val="28"/>
          <w:szCs w:val="28"/>
        </w:rPr>
        <w:t>the foreign body</w:t>
      </w:r>
      <w:r w:rsidR="000D5897">
        <w:rPr>
          <w:sz w:val="28"/>
          <w:szCs w:val="28"/>
        </w:rPr>
        <w:t>—whether it is a political branch or national bank—</w:t>
      </w:r>
      <w:r w:rsidR="008F12AD">
        <w:rPr>
          <w:sz w:val="28"/>
          <w:szCs w:val="28"/>
        </w:rPr>
        <w:t xml:space="preserve">will limit the royalty rate well below </w:t>
      </w:r>
      <w:r w:rsidR="009B7E7A">
        <w:rPr>
          <w:sz w:val="28"/>
          <w:szCs w:val="28"/>
        </w:rPr>
        <w:t xml:space="preserve">an </w:t>
      </w:r>
      <w:r w:rsidR="008F12AD">
        <w:rPr>
          <w:sz w:val="28"/>
          <w:szCs w:val="28"/>
        </w:rPr>
        <w:t xml:space="preserve">arm’s length royalty rate. </w:t>
      </w:r>
      <w:r w:rsidR="00F434FE">
        <w:rPr>
          <w:sz w:val="28"/>
          <w:szCs w:val="28"/>
        </w:rPr>
        <w:t>The</w:t>
      </w:r>
      <w:r w:rsidR="008F12AD">
        <w:rPr>
          <w:sz w:val="28"/>
          <w:szCs w:val="28"/>
        </w:rPr>
        <w:t xml:space="preserve"> local subsidiary is prohibited from paying a royalty in excess of the amount set by the foreign jurisdiction</w:t>
      </w:r>
      <w:r w:rsidR="000D5897">
        <w:rPr>
          <w:sz w:val="28"/>
          <w:szCs w:val="28"/>
        </w:rPr>
        <w:t xml:space="preserve"> and</w:t>
      </w:r>
      <w:r w:rsidR="003758C3">
        <w:rPr>
          <w:sz w:val="28"/>
          <w:szCs w:val="28"/>
        </w:rPr>
        <w:t xml:space="preserve">, thus, these transactions </w:t>
      </w:r>
      <w:r w:rsidR="009D239F">
        <w:rPr>
          <w:sz w:val="28"/>
          <w:szCs w:val="28"/>
        </w:rPr>
        <w:t xml:space="preserve">will </w:t>
      </w:r>
      <w:r w:rsidR="008E7398">
        <w:rPr>
          <w:sz w:val="28"/>
          <w:szCs w:val="28"/>
        </w:rPr>
        <w:t>fail under the arm’s length standard</w:t>
      </w:r>
      <w:r w:rsidR="00656C52">
        <w:rPr>
          <w:sz w:val="28"/>
          <w:szCs w:val="28"/>
        </w:rPr>
        <w:t>.</w:t>
      </w:r>
      <w:r w:rsidR="00B05F31">
        <w:rPr>
          <w:sz w:val="28"/>
          <w:szCs w:val="28"/>
        </w:rPr>
        <w:t xml:space="preserve"> The deferral method in the Blocked Income Rule does not apply because each country applies its royalty calculations based on </w:t>
      </w:r>
      <w:r w:rsidR="00324CEB">
        <w:rPr>
          <w:sz w:val="28"/>
          <w:szCs w:val="28"/>
        </w:rPr>
        <w:t>a per taxpayer standard, as opposed to a generally applicable law.</w:t>
      </w:r>
      <w:r w:rsidR="00656C52">
        <w:rPr>
          <w:sz w:val="28"/>
          <w:szCs w:val="28"/>
        </w:rPr>
        <w:t xml:space="preserve"> Thus, the result is the Company </w:t>
      </w:r>
      <w:r w:rsidR="00DF7896">
        <w:rPr>
          <w:sz w:val="28"/>
          <w:szCs w:val="28"/>
        </w:rPr>
        <w:t>is exposed to a potential IRS</w:t>
      </w:r>
      <w:r w:rsidR="00B05F31">
        <w:rPr>
          <w:sz w:val="28"/>
          <w:szCs w:val="28"/>
        </w:rPr>
        <w:t xml:space="preserve"> audit and</w:t>
      </w:r>
      <w:r w:rsidR="00DF7896">
        <w:rPr>
          <w:sz w:val="28"/>
          <w:szCs w:val="28"/>
        </w:rPr>
        <w:t xml:space="preserve"> adjustment</w:t>
      </w:r>
      <w:r w:rsidR="00B05F31">
        <w:rPr>
          <w:sz w:val="28"/>
          <w:szCs w:val="28"/>
        </w:rPr>
        <w:t>. If the IRS makes an adjustment and increases the royalty</w:t>
      </w:r>
      <w:r w:rsidR="009B7E7A">
        <w:rPr>
          <w:sz w:val="28"/>
          <w:szCs w:val="28"/>
        </w:rPr>
        <w:t xml:space="preserve"> rate</w:t>
      </w:r>
      <w:r w:rsidR="00B05F31">
        <w:rPr>
          <w:sz w:val="28"/>
          <w:szCs w:val="28"/>
        </w:rPr>
        <w:t xml:space="preserve">, the Company will be subject to double taxation because the IRS would impute additional income to the United States without a corresponding payment or deduction abroad.  </w:t>
      </w:r>
    </w:p>
    <w:p w:rsidR="005850A3" w:rsidP="00451CC0" w14:paraId="5C4FA288" w14:textId="646CDFA4">
      <w:pPr>
        <w:jc w:val="both"/>
        <w:rPr>
          <w:sz w:val="28"/>
          <w:szCs w:val="28"/>
        </w:rPr>
      </w:pPr>
      <w:r>
        <w:rPr>
          <w:sz w:val="28"/>
          <w:szCs w:val="28"/>
        </w:rPr>
        <w:tab/>
      </w:r>
      <w:r w:rsidR="00FF7391">
        <w:rPr>
          <w:sz w:val="28"/>
          <w:szCs w:val="28"/>
        </w:rPr>
        <w:t xml:space="preserve">With the complex and varying foreign country </w:t>
      </w:r>
      <w:r w:rsidR="009B7E7A">
        <w:rPr>
          <w:sz w:val="28"/>
          <w:szCs w:val="28"/>
        </w:rPr>
        <w:t xml:space="preserve">regimes </w:t>
      </w:r>
      <w:r w:rsidR="008E7398">
        <w:rPr>
          <w:sz w:val="28"/>
          <w:szCs w:val="28"/>
        </w:rPr>
        <w:t>that allow U.S. parent companies</w:t>
      </w:r>
      <w:r w:rsidR="00093CC3">
        <w:rPr>
          <w:sz w:val="28"/>
          <w:szCs w:val="28"/>
        </w:rPr>
        <w:t xml:space="preserve"> to receiv</w:t>
      </w:r>
      <w:r w:rsidR="008E7398">
        <w:rPr>
          <w:sz w:val="28"/>
          <w:szCs w:val="28"/>
        </w:rPr>
        <w:t>e</w:t>
      </w:r>
      <w:r w:rsidR="00093CC3">
        <w:rPr>
          <w:sz w:val="28"/>
          <w:szCs w:val="28"/>
        </w:rPr>
        <w:t xml:space="preserve"> little </w:t>
      </w:r>
      <w:r w:rsidR="008E7398">
        <w:rPr>
          <w:sz w:val="28"/>
          <w:szCs w:val="28"/>
        </w:rPr>
        <w:t xml:space="preserve">to no royalty </w:t>
      </w:r>
      <w:r w:rsidR="00093CC3">
        <w:rPr>
          <w:sz w:val="28"/>
          <w:szCs w:val="28"/>
        </w:rPr>
        <w:t xml:space="preserve">income from the foreign subsidiary, and the Blocked Income Rule that insists on </w:t>
      </w:r>
      <w:r w:rsidR="00965148">
        <w:rPr>
          <w:sz w:val="28"/>
          <w:szCs w:val="28"/>
        </w:rPr>
        <w:t xml:space="preserve">imputing income to the United States </w:t>
      </w:r>
      <w:r w:rsidR="005B127A">
        <w:rPr>
          <w:sz w:val="28"/>
          <w:szCs w:val="28"/>
        </w:rPr>
        <w:t xml:space="preserve">entity </w:t>
      </w:r>
      <w:r w:rsidR="00965148">
        <w:rPr>
          <w:sz w:val="28"/>
          <w:szCs w:val="28"/>
        </w:rPr>
        <w:t>that could never be paid by the foreign subsidiary</w:t>
      </w:r>
      <w:r w:rsidR="00093CC3">
        <w:rPr>
          <w:sz w:val="28"/>
          <w:szCs w:val="28"/>
        </w:rPr>
        <w:t xml:space="preserve"> without any viable </w:t>
      </w:r>
      <w:r w:rsidR="006300B8">
        <w:rPr>
          <w:sz w:val="28"/>
          <w:szCs w:val="28"/>
        </w:rPr>
        <w:t>exception</w:t>
      </w:r>
      <w:r w:rsidR="00FF7391">
        <w:rPr>
          <w:sz w:val="28"/>
          <w:szCs w:val="28"/>
        </w:rPr>
        <w:t>, the</w:t>
      </w:r>
      <w:r w:rsidR="00CE57CE">
        <w:rPr>
          <w:sz w:val="28"/>
          <w:szCs w:val="28"/>
        </w:rPr>
        <w:t xml:space="preserve"> law-abiding</w:t>
      </w:r>
      <w:r w:rsidR="00D9188A">
        <w:rPr>
          <w:sz w:val="28"/>
          <w:szCs w:val="28"/>
        </w:rPr>
        <w:t xml:space="preserve"> </w:t>
      </w:r>
      <w:bookmarkStart w:id="15" w:name="OLE_LINK16"/>
      <w:r w:rsidR="001C12A8">
        <w:rPr>
          <w:sz w:val="28"/>
          <w:szCs w:val="28"/>
        </w:rPr>
        <w:t>Company</w:t>
      </w:r>
      <w:r w:rsidR="00D9188A">
        <w:rPr>
          <w:sz w:val="28"/>
          <w:szCs w:val="28"/>
        </w:rPr>
        <w:t xml:space="preserve"> </w:t>
      </w:r>
      <w:bookmarkEnd w:id="15"/>
      <w:r w:rsidR="001B5C27">
        <w:rPr>
          <w:sz w:val="28"/>
          <w:szCs w:val="28"/>
        </w:rPr>
        <w:t>is</w:t>
      </w:r>
      <w:r w:rsidR="00283A18">
        <w:rPr>
          <w:sz w:val="28"/>
          <w:szCs w:val="28"/>
        </w:rPr>
        <w:t xml:space="preserve"> </w:t>
      </w:r>
      <w:r w:rsidR="00093CC3">
        <w:rPr>
          <w:sz w:val="28"/>
          <w:szCs w:val="28"/>
        </w:rPr>
        <w:t xml:space="preserve">stuck </w:t>
      </w:r>
      <w:r w:rsidR="006300B8">
        <w:rPr>
          <w:sz w:val="28"/>
          <w:szCs w:val="28"/>
        </w:rPr>
        <w:t>in the quintessential “Hobson’s choice</w:t>
      </w:r>
      <w:r w:rsidR="001C12A8">
        <w:rPr>
          <w:sz w:val="28"/>
          <w:szCs w:val="28"/>
        </w:rPr>
        <w:t xml:space="preserve">.” It </w:t>
      </w:r>
      <w:r w:rsidR="006300B8">
        <w:rPr>
          <w:sz w:val="28"/>
          <w:szCs w:val="28"/>
        </w:rPr>
        <w:t xml:space="preserve">must “decide” to either </w:t>
      </w:r>
      <w:r w:rsidR="001C12A8">
        <w:rPr>
          <w:sz w:val="28"/>
          <w:szCs w:val="28"/>
        </w:rPr>
        <w:t xml:space="preserve">(1) </w:t>
      </w:r>
      <w:r w:rsidR="006300B8">
        <w:rPr>
          <w:sz w:val="28"/>
          <w:szCs w:val="28"/>
        </w:rPr>
        <w:t xml:space="preserve">violate the </w:t>
      </w:r>
      <w:r w:rsidR="001C12A8">
        <w:rPr>
          <w:sz w:val="28"/>
          <w:szCs w:val="28"/>
        </w:rPr>
        <w:t xml:space="preserve">law of a </w:t>
      </w:r>
      <w:r w:rsidR="006300B8">
        <w:rPr>
          <w:sz w:val="28"/>
          <w:szCs w:val="28"/>
        </w:rPr>
        <w:t xml:space="preserve">foreign </w:t>
      </w:r>
      <w:r w:rsidR="00C519FD">
        <w:rPr>
          <w:sz w:val="28"/>
          <w:szCs w:val="28"/>
        </w:rPr>
        <w:t xml:space="preserve">sovereign </w:t>
      </w:r>
      <w:r w:rsidR="001C12A8">
        <w:rPr>
          <w:sz w:val="28"/>
          <w:szCs w:val="28"/>
        </w:rPr>
        <w:t>in connection with business conducted in that sovereign</w:t>
      </w:r>
      <w:r w:rsidR="006300B8">
        <w:rPr>
          <w:sz w:val="28"/>
          <w:szCs w:val="28"/>
        </w:rPr>
        <w:t>’s</w:t>
      </w:r>
      <w:r w:rsidR="001C12A8">
        <w:rPr>
          <w:sz w:val="28"/>
          <w:szCs w:val="28"/>
        </w:rPr>
        <w:t xml:space="preserve"> jurisdiction, so as to satisfy</w:t>
      </w:r>
      <w:r w:rsidR="006300B8">
        <w:rPr>
          <w:sz w:val="28"/>
          <w:szCs w:val="28"/>
        </w:rPr>
        <w:t xml:space="preserve"> the Blocked Income Rule’s requirements</w:t>
      </w:r>
      <w:r w:rsidR="001C12A8">
        <w:rPr>
          <w:sz w:val="28"/>
          <w:szCs w:val="28"/>
        </w:rPr>
        <w:t xml:space="preserve">; </w:t>
      </w:r>
      <w:r w:rsidR="00C519FD">
        <w:rPr>
          <w:sz w:val="28"/>
          <w:szCs w:val="28"/>
        </w:rPr>
        <w:t xml:space="preserve">or </w:t>
      </w:r>
      <w:r w:rsidR="001C12A8">
        <w:rPr>
          <w:sz w:val="28"/>
          <w:szCs w:val="28"/>
        </w:rPr>
        <w:t xml:space="preserve">(2) </w:t>
      </w:r>
      <w:r w:rsidR="009B7E7A">
        <w:rPr>
          <w:sz w:val="28"/>
          <w:szCs w:val="28"/>
        </w:rPr>
        <w:t>risk an IRS</w:t>
      </w:r>
      <w:r w:rsidR="00FE51DE">
        <w:rPr>
          <w:sz w:val="28"/>
          <w:szCs w:val="28"/>
        </w:rPr>
        <w:t>-</w:t>
      </w:r>
      <w:r w:rsidR="009B7E7A">
        <w:rPr>
          <w:sz w:val="28"/>
          <w:szCs w:val="28"/>
        </w:rPr>
        <w:t xml:space="preserve">initiated adjustment without a corresponding </w:t>
      </w:r>
      <w:r w:rsidR="009747BB">
        <w:rPr>
          <w:sz w:val="28"/>
          <w:szCs w:val="28"/>
        </w:rPr>
        <w:t>deduction in the foreign jurisdiction, resulting in double taxation on the deemed royalty that could never be legally paid by the foreign subsidiary</w:t>
      </w:r>
      <w:r w:rsidR="001C12A8">
        <w:rPr>
          <w:sz w:val="28"/>
          <w:szCs w:val="28"/>
        </w:rPr>
        <w:t xml:space="preserve">. </w:t>
      </w:r>
      <w:r w:rsidR="00407F89">
        <w:rPr>
          <w:sz w:val="28"/>
          <w:szCs w:val="28"/>
        </w:rPr>
        <w:t xml:space="preserve">This cannot credibly be considered a real choice.  </w:t>
      </w:r>
    </w:p>
    <w:p w:rsidR="00D7340E" w:rsidP="00451CC0" w14:paraId="4F97D04F" w14:textId="3FCC78F6">
      <w:pPr>
        <w:jc w:val="both"/>
        <w:rPr>
          <w:sz w:val="28"/>
          <w:szCs w:val="28"/>
        </w:rPr>
      </w:pPr>
      <w:r>
        <w:rPr>
          <w:sz w:val="28"/>
          <w:szCs w:val="28"/>
        </w:rPr>
        <w:tab/>
        <w:t>Additionally, the Company cannot qualify for the election to defer income because the restrictions are not publicly promulgated and applied equally to all similarly situated taxpayers.</w:t>
      </w:r>
      <w:r w:rsidR="00C519FD">
        <w:rPr>
          <w:sz w:val="28"/>
          <w:szCs w:val="28"/>
        </w:rPr>
        <w:t xml:space="preserve"> </w:t>
      </w:r>
      <w:r w:rsidR="00407F89">
        <w:rPr>
          <w:sz w:val="28"/>
          <w:szCs w:val="28"/>
        </w:rPr>
        <w:t xml:space="preserve">Instead, </w:t>
      </w:r>
      <w:r w:rsidR="00C519FD">
        <w:rPr>
          <w:sz w:val="28"/>
          <w:szCs w:val="28"/>
        </w:rPr>
        <w:t xml:space="preserve">it </w:t>
      </w:r>
      <w:r w:rsidR="00407F89">
        <w:rPr>
          <w:sz w:val="28"/>
          <w:szCs w:val="28"/>
        </w:rPr>
        <w:t xml:space="preserve">is forced into a situation where </w:t>
      </w:r>
      <w:r w:rsidR="00805D5D">
        <w:rPr>
          <w:sz w:val="28"/>
          <w:szCs w:val="28"/>
        </w:rPr>
        <w:t xml:space="preserve">the only choice is to follow foreign regulations and </w:t>
      </w:r>
      <w:r w:rsidR="0030590C">
        <w:rPr>
          <w:sz w:val="28"/>
          <w:szCs w:val="28"/>
        </w:rPr>
        <w:t>be subject to double taxation in the United States</w:t>
      </w:r>
      <w:r w:rsidR="00805D5D">
        <w:rPr>
          <w:sz w:val="28"/>
          <w:szCs w:val="28"/>
        </w:rPr>
        <w:t xml:space="preserve"> because of the IRS’s </w:t>
      </w:r>
      <w:r w:rsidR="005B127A">
        <w:rPr>
          <w:sz w:val="28"/>
          <w:szCs w:val="28"/>
        </w:rPr>
        <w:t>rigid</w:t>
      </w:r>
      <w:r w:rsidR="00805D5D">
        <w:rPr>
          <w:sz w:val="28"/>
          <w:szCs w:val="28"/>
        </w:rPr>
        <w:t xml:space="preserve"> Blocked Income Rule</w:t>
      </w:r>
      <w:r w:rsidR="00407F89">
        <w:rPr>
          <w:sz w:val="28"/>
          <w:szCs w:val="28"/>
        </w:rPr>
        <w:t>.</w:t>
      </w:r>
      <w:r w:rsidR="007273BE">
        <w:rPr>
          <w:sz w:val="28"/>
          <w:szCs w:val="28"/>
        </w:rPr>
        <w:t xml:space="preserve"> </w:t>
      </w:r>
    </w:p>
    <w:p w:rsidR="009C3A4E" w:rsidRPr="00ED2E64" w:rsidP="00451CC0" w14:paraId="1F9F2AB1" w14:textId="22CD9B9A">
      <w:pPr>
        <w:jc w:val="both"/>
        <w:rPr>
          <w:i/>
          <w:iCs/>
          <w:sz w:val="28"/>
          <w:szCs w:val="28"/>
        </w:rPr>
      </w:pPr>
      <w:r>
        <w:rPr>
          <w:sz w:val="28"/>
          <w:szCs w:val="28"/>
        </w:rPr>
        <w:tab/>
      </w:r>
      <w:r w:rsidR="009747BB">
        <w:rPr>
          <w:sz w:val="28"/>
          <w:szCs w:val="28"/>
        </w:rPr>
        <w:t>As the above examples demonstrate</w:t>
      </w:r>
      <w:r w:rsidR="00112A7A">
        <w:rPr>
          <w:sz w:val="28"/>
          <w:szCs w:val="28"/>
        </w:rPr>
        <w:t>, the Blocked Income Rule</w:t>
      </w:r>
      <w:r w:rsidR="00805D5D">
        <w:rPr>
          <w:sz w:val="28"/>
          <w:szCs w:val="28"/>
        </w:rPr>
        <w:t xml:space="preserve"> will inevitably lead to a chilling effect on companies engaged in cross-border licensing of IP rights.</w:t>
      </w:r>
      <w:r>
        <w:rPr>
          <w:rStyle w:val="FootnoteReference"/>
          <w:sz w:val="28"/>
          <w:szCs w:val="28"/>
        </w:rPr>
        <w:footnoteReference w:id="3"/>
      </w:r>
      <w:r w:rsidR="00805D5D">
        <w:rPr>
          <w:sz w:val="28"/>
          <w:szCs w:val="28"/>
        </w:rPr>
        <w:t xml:space="preserve"> Rather than encourage companies to </w:t>
      </w:r>
      <w:r>
        <w:rPr>
          <w:sz w:val="28"/>
          <w:szCs w:val="28"/>
        </w:rPr>
        <w:t xml:space="preserve">expand </w:t>
      </w:r>
      <w:r w:rsidR="00C519FD">
        <w:rPr>
          <w:sz w:val="28"/>
          <w:szCs w:val="28"/>
        </w:rPr>
        <w:t xml:space="preserve">their operations </w:t>
      </w:r>
      <w:r w:rsidR="00112A7A">
        <w:rPr>
          <w:sz w:val="28"/>
          <w:szCs w:val="28"/>
        </w:rPr>
        <w:t>across the globe</w:t>
      </w:r>
      <w:r>
        <w:rPr>
          <w:sz w:val="28"/>
          <w:szCs w:val="28"/>
        </w:rPr>
        <w:t xml:space="preserve">, the Blocked Income Rule creates the incentive for companies to discontinue these transnational relationships due to the fear of incurring excessive taxation for income the company never received. In a world that is increasingly </w:t>
      </w:r>
      <w:r w:rsidR="00A0707D">
        <w:rPr>
          <w:sz w:val="28"/>
          <w:szCs w:val="28"/>
        </w:rPr>
        <w:t>inter</w:t>
      </w:r>
      <w:r>
        <w:rPr>
          <w:sz w:val="28"/>
          <w:szCs w:val="28"/>
        </w:rPr>
        <w:t xml:space="preserve">connected, </w:t>
      </w:r>
      <w:r w:rsidR="00A0707D">
        <w:rPr>
          <w:sz w:val="28"/>
          <w:szCs w:val="28"/>
        </w:rPr>
        <w:t>the</w:t>
      </w:r>
      <w:r w:rsidR="005B127A">
        <w:rPr>
          <w:sz w:val="28"/>
          <w:szCs w:val="28"/>
        </w:rPr>
        <w:t xml:space="preserve"> Blocked Income</w:t>
      </w:r>
      <w:r w:rsidR="00A0707D">
        <w:rPr>
          <w:sz w:val="28"/>
          <w:szCs w:val="28"/>
        </w:rPr>
        <w:t xml:space="preserve"> Rule puts companies</w:t>
      </w:r>
      <w:r w:rsidR="00E15239">
        <w:rPr>
          <w:sz w:val="28"/>
          <w:szCs w:val="28"/>
        </w:rPr>
        <w:t xml:space="preserve"> with intellectual property located in the United States</w:t>
      </w:r>
      <w:r w:rsidR="00A0707D">
        <w:rPr>
          <w:sz w:val="28"/>
          <w:szCs w:val="28"/>
        </w:rPr>
        <w:t xml:space="preserve"> at a significant competitive disadvantage</w:t>
      </w:r>
      <w:r w:rsidR="00112A7A">
        <w:rPr>
          <w:sz w:val="28"/>
          <w:szCs w:val="28"/>
        </w:rPr>
        <w:t>.</w:t>
      </w:r>
      <w:r w:rsidR="00ED2E64">
        <w:rPr>
          <w:sz w:val="28"/>
          <w:szCs w:val="28"/>
        </w:rPr>
        <w:t xml:space="preserve">  </w:t>
      </w:r>
    </w:p>
    <w:p w:rsidR="00A0707D" w:rsidP="003B0BCE" w14:paraId="0B103CF2" w14:textId="43634568">
      <w:pPr>
        <w:jc w:val="both"/>
        <w:rPr>
          <w:sz w:val="28"/>
          <w:szCs w:val="28"/>
        </w:rPr>
      </w:pPr>
      <w:r>
        <w:rPr>
          <w:sz w:val="28"/>
          <w:szCs w:val="28"/>
        </w:rPr>
        <w:tab/>
      </w:r>
      <w:r w:rsidR="002052E9">
        <w:rPr>
          <w:sz w:val="28"/>
          <w:szCs w:val="28"/>
        </w:rPr>
        <w:t>T</w:t>
      </w:r>
      <w:r>
        <w:rPr>
          <w:sz w:val="28"/>
          <w:szCs w:val="28"/>
        </w:rPr>
        <w:t xml:space="preserve">he IRS has not pointed to any evidence that Congress intended to impose such severe and unfair burdens on law-abiding American businesses. What is more, the </w:t>
      </w:r>
      <w:r>
        <w:rPr>
          <w:i/>
          <w:iCs/>
          <w:sz w:val="28"/>
          <w:szCs w:val="28"/>
        </w:rPr>
        <w:t xml:space="preserve">codified </w:t>
      </w:r>
      <w:r>
        <w:rPr>
          <w:sz w:val="28"/>
          <w:szCs w:val="28"/>
        </w:rPr>
        <w:t>statutory purpose supports t</w:t>
      </w:r>
      <w:r w:rsidR="00E95F3C">
        <w:rPr>
          <w:sz w:val="28"/>
          <w:szCs w:val="28"/>
        </w:rPr>
        <w:t xml:space="preserve">he </w:t>
      </w:r>
      <w:r>
        <w:rPr>
          <w:sz w:val="28"/>
          <w:szCs w:val="28"/>
        </w:rPr>
        <w:t>conclusion</w:t>
      </w:r>
      <w:r w:rsidR="00E95F3C">
        <w:rPr>
          <w:sz w:val="28"/>
          <w:szCs w:val="28"/>
        </w:rPr>
        <w:t xml:space="preserve"> that Congress never intended this unjust result</w:t>
      </w:r>
      <w:r>
        <w:rPr>
          <w:sz w:val="28"/>
          <w:szCs w:val="28"/>
        </w:rPr>
        <w:t xml:space="preserve">. </w:t>
      </w:r>
      <w:r w:rsidR="00ED2E64">
        <w:rPr>
          <w:i/>
          <w:iCs/>
          <w:sz w:val="28"/>
          <w:szCs w:val="28"/>
        </w:rPr>
        <w:t>See Ass’n for Cmty. Affiliated Plans</w:t>
      </w:r>
      <w:r w:rsidR="00ED2E64">
        <w:rPr>
          <w:sz w:val="28"/>
          <w:szCs w:val="28"/>
        </w:rPr>
        <w:t>, 392 F. Supp. 3d at 42 (</w:t>
      </w:r>
      <w:r w:rsidR="00B14139">
        <w:rPr>
          <w:sz w:val="28"/>
          <w:szCs w:val="28"/>
        </w:rPr>
        <w:t>explaining</w:t>
      </w:r>
      <w:r w:rsidR="00ED2E64">
        <w:rPr>
          <w:sz w:val="28"/>
          <w:szCs w:val="28"/>
        </w:rPr>
        <w:t xml:space="preserve"> that courts should consider the statutory purpose in determining whether the agency interpretation is reasonable).  </w:t>
      </w:r>
    </w:p>
    <w:p w:rsidR="00A0707D" w:rsidP="003B0BCE" w14:paraId="45FCE22A" w14:textId="67DA78E2">
      <w:pPr>
        <w:jc w:val="both"/>
        <w:rPr>
          <w:sz w:val="28"/>
          <w:szCs w:val="28"/>
        </w:rPr>
      </w:pPr>
      <w:r>
        <w:rPr>
          <w:sz w:val="28"/>
          <w:szCs w:val="28"/>
        </w:rPr>
        <w:tab/>
      </w:r>
      <w:r w:rsidR="001F7142">
        <w:rPr>
          <w:sz w:val="28"/>
          <w:szCs w:val="28"/>
        </w:rPr>
        <w:t xml:space="preserve">Section 482 authorizes the IRS to reallocate income reported by entities that are under common control “to prevent the evasion of taxes or clearly to reflect the income of any of” the entities. </w:t>
      </w:r>
      <w:r w:rsidR="002A49F2">
        <w:rPr>
          <w:sz w:val="28"/>
          <w:szCs w:val="28"/>
        </w:rPr>
        <w:t>26 U.S.C.</w:t>
      </w:r>
      <w:r w:rsidR="001F7142">
        <w:rPr>
          <w:sz w:val="28"/>
          <w:szCs w:val="28"/>
        </w:rPr>
        <w:t xml:space="preserve"> § 4</w:t>
      </w:r>
      <w:r w:rsidR="003758C3">
        <w:rPr>
          <w:sz w:val="28"/>
          <w:szCs w:val="28"/>
        </w:rPr>
        <w:t>8</w:t>
      </w:r>
      <w:r w:rsidR="001F7142">
        <w:rPr>
          <w:sz w:val="28"/>
          <w:szCs w:val="28"/>
        </w:rPr>
        <w:t xml:space="preserve">2. </w:t>
      </w:r>
      <w:r w:rsidR="003758C3">
        <w:rPr>
          <w:sz w:val="28"/>
          <w:szCs w:val="28"/>
        </w:rPr>
        <w:t xml:space="preserve">The </w:t>
      </w:r>
      <w:r w:rsidR="000729F1">
        <w:rPr>
          <w:sz w:val="28"/>
          <w:szCs w:val="28"/>
        </w:rPr>
        <w:t>agency’s purpose fails to give proper respect to foreign law</w:t>
      </w:r>
      <w:r w:rsidR="00A75D82">
        <w:rPr>
          <w:sz w:val="28"/>
          <w:szCs w:val="28"/>
        </w:rPr>
        <w:t xml:space="preserve"> and practices</w:t>
      </w:r>
      <w:r w:rsidR="000729F1">
        <w:rPr>
          <w:sz w:val="28"/>
          <w:szCs w:val="28"/>
        </w:rPr>
        <w:t>. A</w:t>
      </w:r>
      <w:r w:rsidR="00B3540D">
        <w:rPr>
          <w:sz w:val="28"/>
          <w:szCs w:val="28"/>
        </w:rPr>
        <w:t>ny a</w:t>
      </w:r>
      <w:r w:rsidRPr="003B0BCE" w:rsidR="003B0BCE">
        <w:rPr>
          <w:sz w:val="28"/>
          <w:szCs w:val="28"/>
        </w:rPr>
        <w:t>llocation to a U.S. taxpayer of income that it did not and could not have received does not “reflect the income” of that taxpayer.</w:t>
      </w:r>
      <w:r w:rsidR="00225B62">
        <w:rPr>
          <w:sz w:val="28"/>
          <w:szCs w:val="28"/>
        </w:rPr>
        <w:t xml:space="preserve"> Income is defined as “[t]he money or other form of payment that one </w:t>
      </w:r>
      <w:r w:rsidRPr="00D87627" w:rsidR="00225B62">
        <w:rPr>
          <w:b/>
          <w:bCs/>
          <w:i/>
          <w:iCs/>
          <w:sz w:val="28"/>
          <w:szCs w:val="28"/>
        </w:rPr>
        <w:t>receives</w:t>
      </w:r>
      <w:r w:rsidR="00225B62">
        <w:rPr>
          <w:sz w:val="28"/>
          <w:szCs w:val="28"/>
        </w:rPr>
        <w:t xml:space="preserve">.” </w:t>
      </w:r>
      <w:r w:rsidR="00225B62">
        <w:rPr>
          <w:i/>
          <w:iCs/>
          <w:sz w:val="28"/>
          <w:szCs w:val="28"/>
        </w:rPr>
        <w:t>Income</w:t>
      </w:r>
      <w:r w:rsidR="00225B62">
        <w:rPr>
          <w:sz w:val="28"/>
          <w:szCs w:val="28"/>
        </w:rPr>
        <w:t xml:space="preserve">, </w:t>
      </w:r>
      <w:r w:rsidRPr="001702EF" w:rsidR="00225B62">
        <w:rPr>
          <w:smallCaps/>
          <w:sz w:val="28"/>
          <w:szCs w:val="28"/>
        </w:rPr>
        <w:t>Black’s Law Dictionary</w:t>
      </w:r>
      <w:r w:rsidR="00225B62">
        <w:rPr>
          <w:sz w:val="28"/>
          <w:szCs w:val="28"/>
        </w:rPr>
        <w:t xml:space="preserve"> (11th ed. 2019)</w:t>
      </w:r>
      <w:r w:rsidR="00D87627">
        <w:rPr>
          <w:sz w:val="28"/>
          <w:szCs w:val="28"/>
        </w:rPr>
        <w:t xml:space="preserve"> (emphasis added)</w:t>
      </w:r>
      <w:r w:rsidR="00225B62">
        <w:rPr>
          <w:sz w:val="28"/>
          <w:szCs w:val="28"/>
        </w:rPr>
        <w:t xml:space="preserve">. </w:t>
      </w:r>
      <w:r w:rsidR="00837BE8">
        <w:rPr>
          <w:sz w:val="28"/>
          <w:szCs w:val="28"/>
        </w:rPr>
        <w:t xml:space="preserve">While the Internal Revenue Code does not define “income” explicitly, it is incorporated into the definition of “gross income,” which means “all income from whatever source </w:t>
      </w:r>
      <w:r w:rsidRPr="00D87627" w:rsidR="00837BE8">
        <w:rPr>
          <w:b/>
          <w:bCs/>
          <w:i/>
          <w:iCs/>
          <w:sz w:val="28"/>
          <w:szCs w:val="28"/>
        </w:rPr>
        <w:t>derived</w:t>
      </w:r>
      <w:r w:rsidR="00837BE8">
        <w:rPr>
          <w:sz w:val="28"/>
          <w:szCs w:val="28"/>
        </w:rPr>
        <w:t xml:space="preserve">.” </w:t>
      </w:r>
      <w:r w:rsidR="002A49F2">
        <w:rPr>
          <w:sz w:val="28"/>
          <w:szCs w:val="28"/>
        </w:rPr>
        <w:t>26 U.S.C.</w:t>
      </w:r>
      <w:r w:rsidR="00837BE8">
        <w:rPr>
          <w:sz w:val="28"/>
          <w:szCs w:val="28"/>
        </w:rPr>
        <w:t xml:space="preserve"> § 61</w:t>
      </w:r>
      <w:r w:rsidR="00D87627">
        <w:rPr>
          <w:sz w:val="28"/>
          <w:szCs w:val="28"/>
        </w:rPr>
        <w:t xml:space="preserve"> (emphasis added)</w:t>
      </w:r>
      <w:r w:rsidR="00837BE8">
        <w:rPr>
          <w:sz w:val="28"/>
          <w:szCs w:val="28"/>
        </w:rPr>
        <w:t xml:space="preserve">. </w:t>
      </w:r>
      <w:r>
        <w:rPr>
          <w:sz w:val="28"/>
          <w:szCs w:val="28"/>
        </w:rPr>
        <w:t>In</w:t>
      </w:r>
      <w:r w:rsidR="00837BE8">
        <w:rPr>
          <w:sz w:val="28"/>
          <w:szCs w:val="28"/>
        </w:rPr>
        <w:t xml:space="preserve"> both the traditional </w:t>
      </w:r>
      <w:r w:rsidR="00D87627">
        <w:rPr>
          <w:sz w:val="28"/>
          <w:szCs w:val="28"/>
        </w:rPr>
        <w:t>and the statutory definition, the emphasis is on the payment that the individual receives. C</w:t>
      </w:r>
      <w:r w:rsidR="00B14139">
        <w:rPr>
          <w:sz w:val="28"/>
          <w:szCs w:val="28"/>
        </w:rPr>
        <w:t xml:space="preserve">ourts construing statutes presume that Congress says what it means and means what it says. </w:t>
      </w:r>
      <w:r w:rsidR="006C3C4D">
        <w:rPr>
          <w:i/>
          <w:iCs/>
          <w:sz w:val="28"/>
          <w:szCs w:val="28"/>
        </w:rPr>
        <w:t>Dodd v. United States</w:t>
      </w:r>
      <w:r w:rsidR="006C3C4D">
        <w:rPr>
          <w:sz w:val="28"/>
          <w:szCs w:val="28"/>
        </w:rPr>
        <w:t>, 545 U.S. 353, 357 (2005).</w:t>
      </w:r>
      <w:r w:rsidR="006C3C4D">
        <w:rPr>
          <w:i/>
          <w:iCs/>
          <w:sz w:val="28"/>
          <w:szCs w:val="28"/>
        </w:rPr>
        <w:t xml:space="preserve"> </w:t>
      </w:r>
      <w:r w:rsidR="00B14139">
        <w:rPr>
          <w:sz w:val="28"/>
          <w:szCs w:val="28"/>
        </w:rPr>
        <w:t>Here, C</w:t>
      </w:r>
      <w:r w:rsidR="00D87627">
        <w:rPr>
          <w:sz w:val="28"/>
          <w:szCs w:val="28"/>
        </w:rPr>
        <w:t xml:space="preserve">ongress </w:t>
      </w:r>
      <w:r w:rsidR="00B14139">
        <w:rPr>
          <w:sz w:val="28"/>
          <w:szCs w:val="28"/>
        </w:rPr>
        <w:t xml:space="preserve">did not manifest any intention, textual or otherwise, </w:t>
      </w:r>
      <w:r w:rsidR="00D87627">
        <w:rPr>
          <w:sz w:val="28"/>
          <w:szCs w:val="28"/>
        </w:rPr>
        <w:t xml:space="preserve">for the IRS to be allowed to tax U.S. taxpayers on payments that </w:t>
      </w:r>
      <w:r w:rsidR="00E15239">
        <w:rPr>
          <w:sz w:val="28"/>
          <w:szCs w:val="28"/>
        </w:rPr>
        <w:t xml:space="preserve">they </w:t>
      </w:r>
      <w:r w:rsidR="00D87627">
        <w:rPr>
          <w:sz w:val="28"/>
          <w:szCs w:val="28"/>
        </w:rPr>
        <w:t xml:space="preserve">could not receive.  </w:t>
      </w:r>
    </w:p>
    <w:p w:rsidR="000477AF" w:rsidRPr="00F7012C" w:rsidP="003B0BCE" w14:paraId="46FD4853" w14:textId="7B74736F">
      <w:pPr>
        <w:jc w:val="both"/>
        <w:rPr>
          <w:i/>
          <w:iCs/>
          <w:sz w:val="28"/>
          <w:szCs w:val="28"/>
        </w:rPr>
      </w:pPr>
      <w:r>
        <w:rPr>
          <w:sz w:val="28"/>
          <w:szCs w:val="28"/>
        </w:rPr>
        <w:tab/>
        <w:t>In sum</w:t>
      </w:r>
      <w:r w:rsidR="00600E10">
        <w:rPr>
          <w:sz w:val="28"/>
          <w:szCs w:val="28"/>
        </w:rPr>
        <w:t xml:space="preserve">, the Tax Court erred in upholding the </w:t>
      </w:r>
      <w:r w:rsidR="00F7012C">
        <w:rPr>
          <w:sz w:val="28"/>
          <w:szCs w:val="28"/>
        </w:rPr>
        <w:t xml:space="preserve">IRS’s </w:t>
      </w:r>
      <w:r w:rsidR="00600E10">
        <w:rPr>
          <w:sz w:val="28"/>
          <w:szCs w:val="28"/>
        </w:rPr>
        <w:t>Blocked Income Rule</w:t>
      </w:r>
      <w:r w:rsidR="00F7012C">
        <w:rPr>
          <w:sz w:val="28"/>
          <w:szCs w:val="28"/>
        </w:rPr>
        <w:t xml:space="preserve"> because</w:t>
      </w:r>
      <w:r>
        <w:rPr>
          <w:sz w:val="28"/>
          <w:szCs w:val="28"/>
        </w:rPr>
        <w:t xml:space="preserve"> that regulation:</w:t>
      </w:r>
      <w:r w:rsidR="00F7012C">
        <w:rPr>
          <w:sz w:val="28"/>
          <w:szCs w:val="28"/>
        </w:rPr>
        <w:t xml:space="preserve"> (1) generates</w:t>
      </w:r>
      <w:r>
        <w:rPr>
          <w:sz w:val="28"/>
          <w:szCs w:val="28"/>
        </w:rPr>
        <w:t xml:space="preserve"> unfair </w:t>
      </w:r>
      <w:r w:rsidR="00B14139">
        <w:rPr>
          <w:sz w:val="28"/>
          <w:szCs w:val="28"/>
        </w:rPr>
        <w:t xml:space="preserve">and unreasonable </w:t>
      </w:r>
      <w:r w:rsidR="00F7012C">
        <w:rPr>
          <w:sz w:val="28"/>
          <w:szCs w:val="28"/>
        </w:rPr>
        <w:t>results</w:t>
      </w:r>
      <w:r w:rsidR="00B14139">
        <w:rPr>
          <w:sz w:val="28"/>
          <w:szCs w:val="28"/>
        </w:rPr>
        <w:t>, such that</w:t>
      </w:r>
      <w:r w:rsidR="00F7012C">
        <w:rPr>
          <w:sz w:val="28"/>
          <w:szCs w:val="28"/>
        </w:rPr>
        <w:t xml:space="preserve"> companies must choose between violating foreign law or </w:t>
      </w:r>
      <w:r>
        <w:rPr>
          <w:sz w:val="28"/>
          <w:szCs w:val="28"/>
        </w:rPr>
        <w:t>suffering adverse consequences, including</w:t>
      </w:r>
      <w:r w:rsidR="00F7012C">
        <w:rPr>
          <w:sz w:val="28"/>
          <w:szCs w:val="28"/>
        </w:rPr>
        <w:t xml:space="preserve"> double taxation; and (2) </w:t>
      </w:r>
      <w:r w:rsidR="000E0CD0">
        <w:rPr>
          <w:sz w:val="28"/>
          <w:szCs w:val="28"/>
        </w:rPr>
        <w:t xml:space="preserve">frustrates Congress’s explicit objectives, as evidenced by </w:t>
      </w:r>
      <w:r w:rsidR="00F7012C">
        <w:rPr>
          <w:sz w:val="28"/>
          <w:szCs w:val="28"/>
        </w:rPr>
        <w:t xml:space="preserve">the plain language of the </w:t>
      </w:r>
      <w:r w:rsidR="000E0CD0">
        <w:rPr>
          <w:sz w:val="28"/>
          <w:szCs w:val="28"/>
        </w:rPr>
        <w:t xml:space="preserve">governing </w:t>
      </w:r>
      <w:r w:rsidR="00F7012C">
        <w:rPr>
          <w:sz w:val="28"/>
          <w:szCs w:val="28"/>
        </w:rPr>
        <w:t xml:space="preserve">statute. </w:t>
      </w:r>
      <w:bookmarkStart w:id="16" w:name="OLE_LINK18"/>
      <w:r w:rsidR="00F7012C">
        <w:rPr>
          <w:i/>
          <w:iCs/>
          <w:sz w:val="28"/>
          <w:szCs w:val="28"/>
        </w:rPr>
        <w:t xml:space="preserve">See, e.g., </w:t>
      </w:r>
      <w:r w:rsidRPr="00F7012C" w:rsidR="00F7012C">
        <w:rPr>
          <w:i/>
          <w:iCs/>
          <w:sz w:val="28"/>
          <w:szCs w:val="28"/>
        </w:rPr>
        <w:t>Good Fortune Shipping SA</w:t>
      </w:r>
      <w:r w:rsidR="00C22AF7">
        <w:rPr>
          <w:sz w:val="28"/>
          <w:szCs w:val="28"/>
        </w:rPr>
        <w:t>,</w:t>
      </w:r>
      <w:r w:rsidR="00C22AF7">
        <w:rPr>
          <w:i/>
          <w:iCs/>
          <w:sz w:val="28"/>
          <w:szCs w:val="28"/>
        </w:rPr>
        <w:t xml:space="preserve"> </w:t>
      </w:r>
      <w:r w:rsidRPr="00C22AF7" w:rsidR="00F7012C">
        <w:rPr>
          <w:sz w:val="28"/>
          <w:szCs w:val="28"/>
        </w:rPr>
        <w:t xml:space="preserve">897 F.3d </w:t>
      </w:r>
      <w:r w:rsidR="00C22AF7">
        <w:rPr>
          <w:sz w:val="28"/>
          <w:szCs w:val="28"/>
        </w:rPr>
        <w:t xml:space="preserve">at </w:t>
      </w:r>
      <w:r w:rsidRPr="00C22AF7" w:rsidR="00F7012C">
        <w:rPr>
          <w:sz w:val="28"/>
          <w:szCs w:val="28"/>
        </w:rPr>
        <w:t>261–264</w:t>
      </w:r>
      <w:r w:rsidR="00C22AF7">
        <w:rPr>
          <w:sz w:val="28"/>
          <w:szCs w:val="28"/>
        </w:rPr>
        <w:t>.</w:t>
      </w:r>
      <w:bookmarkEnd w:id="16"/>
    </w:p>
    <w:p w:rsidR="00D85EF4" w:rsidRPr="00393D80" w:rsidP="00762D90" w14:paraId="06FC871F" w14:textId="4C413492">
      <w:pPr>
        <w:pStyle w:val="Heading3"/>
        <w:spacing w:after="240" w:line="240" w:lineRule="auto"/>
      </w:pPr>
      <w:bookmarkStart w:id="17" w:name="_Toc158823203"/>
      <w:r>
        <w:t>The Blocked Income Rule is Procedurally Invalid Because the IRS Failed to Consider Comments Alerting the Agency to Significant Problems and Potential Remedies</w:t>
      </w:r>
      <w:r w:rsidR="006C6FE8">
        <w:t>.</w:t>
      </w:r>
      <w:bookmarkEnd w:id="17"/>
    </w:p>
    <w:p w:rsidR="00D85EF4" w:rsidP="00762D90" w14:paraId="262F9596" w14:textId="506898FC">
      <w:pPr>
        <w:jc w:val="both"/>
        <w:rPr>
          <w:sz w:val="28"/>
          <w:szCs w:val="28"/>
        </w:rPr>
      </w:pPr>
      <w:r>
        <w:rPr>
          <w:sz w:val="28"/>
          <w:szCs w:val="28"/>
        </w:rPr>
        <w:tab/>
      </w:r>
      <w:r w:rsidRPr="00D85EF4">
        <w:rPr>
          <w:sz w:val="28"/>
          <w:szCs w:val="28"/>
        </w:rPr>
        <w:t xml:space="preserve">The </w:t>
      </w:r>
      <w:r w:rsidR="000E0CD0">
        <w:rPr>
          <w:sz w:val="28"/>
          <w:szCs w:val="28"/>
        </w:rPr>
        <w:t xml:space="preserve">defects noted above could and should have been avoided. Before the Blocked Income Rule went into effect, </w:t>
      </w:r>
      <w:r w:rsidR="00E15239">
        <w:rPr>
          <w:sz w:val="28"/>
          <w:szCs w:val="28"/>
        </w:rPr>
        <w:t>c</w:t>
      </w:r>
      <w:r w:rsidR="000E0CD0">
        <w:rPr>
          <w:sz w:val="28"/>
          <w:szCs w:val="28"/>
        </w:rPr>
        <w:t xml:space="preserve">ommenters advised the agency of substantive problems with the rule, highlighted the ineffectiveness of its proposed exceptions to the rule, and offered suggested changes to the proposed rule to better effectuate express congressional purposes. </w:t>
      </w:r>
      <w:r w:rsidR="00A75D82">
        <w:rPr>
          <w:i/>
          <w:iCs/>
          <w:sz w:val="28"/>
          <w:szCs w:val="28"/>
        </w:rPr>
        <w:t xml:space="preserve">See infra. </w:t>
      </w:r>
      <w:r w:rsidR="00A975E1">
        <w:rPr>
          <w:sz w:val="28"/>
          <w:szCs w:val="28"/>
        </w:rPr>
        <w:t xml:space="preserve">But the IRS did not just reject those comments, it failed to give them any consideration whatsoever. That procedural error provides a distinct and independent basis for the reversing the judgment. </w:t>
      </w:r>
    </w:p>
    <w:p w:rsidR="00582A75" w:rsidP="00762D90" w14:paraId="13D70E78" w14:textId="56ECC4EF">
      <w:pPr>
        <w:jc w:val="both"/>
        <w:rPr>
          <w:sz w:val="28"/>
          <w:szCs w:val="28"/>
        </w:rPr>
      </w:pPr>
      <w:r>
        <w:rPr>
          <w:sz w:val="28"/>
          <w:szCs w:val="28"/>
        </w:rPr>
        <w:tab/>
      </w:r>
      <w:r w:rsidRPr="00F61063" w:rsidR="00F61063">
        <w:rPr>
          <w:sz w:val="28"/>
          <w:szCs w:val="28"/>
        </w:rPr>
        <w:t>When reviewing an agency action, the court is tasked with determining whether the agency acted in an arbitrary and capricious manner.</w:t>
      </w:r>
      <w:r w:rsidRPr="00F61063" w:rsidR="00F61063">
        <w:rPr>
          <w:i/>
          <w:iCs/>
          <w:sz w:val="28"/>
          <w:szCs w:val="28"/>
        </w:rPr>
        <w:t xml:space="preserve"> See</w:t>
      </w:r>
      <w:r w:rsidRPr="00F61063" w:rsidR="00F61063">
        <w:rPr>
          <w:sz w:val="28"/>
          <w:szCs w:val="28"/>
        </w:rPr>
        <w:t xml:space="preserve"> 5 U.S.C. § 706.</w:t>
      </w:r>
      <w:r w:rsidR="00F32858">
        <w:rPr>
          <w:sz w:val="28"/>
          <w:szCs w:val="28"/>
        </w:rPr>
        <w:t xml:space="preserve"> </w:t>
      </w:r>
      <w:r w:rsidR="006C31C3">
        <w:rPr>
          <w:sz w:val="28"/>
          <w:szCs w:val="28"/>
        </w:rPr>
        <w:t>“</w:t>
      </w:r>
      <w:r w:rsidR="00F32858">
        <w:rPr>
          <w:sz w:val="28"/>
          <w:szCs w:val="28"/>
        </w:rPr>
        <w:t>T</w:t>
      </w:r>
      <w:r w:rsidR="00592EE6">
        <w:rPr>
          <w:sz w:val="28"/>
          <w:szCs w:val="28"/>
        </w:rPr>
        <w:t xml:space="preserve">o satisfy the APA’s ‘arbitrary and capricious’ standard, an agency must ‘articulate a satisfactory explanation </w:t>
      </w:r>
      <w:r w:rsidR="00C83CEE">
        <w:rPr>
          <w:sz w:val="28"/>
          <w:szCs w:val="28"/>
        </w:rPr>
        <w:t xml:space="preserve">for its action including a rational connection between the facts found and the choice made.’” </w:t>
      </w:r>
      <w:r w:rsidR="00C83CEE">
        <w:rPr>
          <w:i/>
          <w:iCs/>
          <w:sz w:val="28"/>
          <w:szCs w:val="28"/>
        </w:rPr>
        <w:t>Owner-Operator Indep</w:t>
      </w:r>
      <w:r w:rsidR="001702EF">
        <w:rPr>
          <w:i/>
          <w:iCs/>
          <w:sz w:val="28"/>
          <w:szCs w:val="28"/>
        </w:rPr>
        <w:t>.</w:t>
      </w:r>
      <w:r w:rsidR="00C83CEE">
        <w:rPr>
          <w:i/>
          <w:iCs/>
          <w:sz w:val="28"/>
          <w:szCs w:val="28"/>
        </w:rPr>
        <w:t xml:space="preserve"> Drivers Ass’n, Inc. v. Fed. Motor Carrier Safety Admin.</w:t>
      </w:r>
      <w:r w:rsidR="00C83CEE">
        <w:rPr>
          <w:sz w:val="28"/>
          <w:szCs w:val="28"/>
        </w:rPr>
        <w:t xml:space="preserve">, 494 F.3d 188, 203 (D.C. Cir. 2007) (quoting </w:t>
      </w:r>
      <w:bookmarkStart w:id="18" w:name="OLE_LINK14"/>
      <w:r w:rsidR="00C83CEE">
        <w:rPr>
          <w:i/>
          <w:iCs/>
          <w:sz w:val="28"/>
          <w:szCs w:val="28"/>
        </w:rPr>
        <w:t>Motor Vehicles Mfrs. Ass’n</w:t>
      </w:r>
      <w:r w:rsidR="00C83CEE">
        <w:rPr>
          <w:sz w:val="28"/>
          <w:szCs w:val="28"/>
        </w:rPr>
        <w:t>, 463 U.S. at 43</w:t>
      </w:r>
      <w:bookmarkEnd w:id="18"/>
      <w:r w:rsidR="00C83CEE">
        <w:rPr>
          <w:sz w:val="28"/>
          <w:szCs w:val="28"/>
        </w:rPr>
        <w:t xml:space="preserve">). </w:t>
      </w:r>
      <w:bookmarkStart w:id="19" w:name="OLE_LINK20"/>
      <w:r w:rsidRPr="00F61063" w:rsidR="00F61063">
        <w:rPr>
          <w:sz w:val="28"/>
          <w:szCs w:val="28"/>
        </w:rPr>
        <w:t>An agency’s interpretation cannot be reasonable</w:t>
      </w:r>
      <w:r w:rsidR="00C97964">
        <w:rPr>
          <w:sz w:val="28"/>
          <w:szCs w:val="28"/>
        </w:rPr>
        <w:t xml:space="preserve"> and, instead, </w:t>
      </w:r>
      <w:r w:rsidRPr="00F61063" w:rsidR="00F61063">
        <w:rPr>
          <w:sz w:val="28"/>
          <w:szCs w:val="28"/>
        </w:rPr>
        <w:t>must be arbitrary and capricious when it fails to consider all the relevant factors or there has been a clear error of judgment.</w:t>
      </w:r>
      <w:r w:rsidR="00F61063">
        <w:rPr>
          <w:sz w:val="28"/>
          <w:szCs w:val="28"/>
        </w:rPr>
        <w:t xml:space="preserve"> </w:t>
      </w:r>
      <w:r w:rsidRPr="00F61063" w:rsidR="00F61063">
        <w:rPr>
          <w:i/>
          <w:iCs/>
          <w:sz w:val="28"/>
          <w:szCs w:val="28"/>
        </w:rPr>
        <w:t>Citizens to Preserve Overton Park, Inc. v. Volpe</w:t>
      </w:r>
      <w:r w:rsidRPr="00F61063" w:rsidR="00F61063">
        <w:rPr>
          <w:sz w:val="28"/>
          <w:szCs w:val="28"/>
        </w:rPr>
        <w:t xml:space="preserve">, 401 U.S. 402, 416 (1971); </w:t>
      </w:r>
      <w:r w:rsidRPr="00F61063" w:rsidR="00F61063">
        <w:rPr>
          <w:i/>
          <w:iCs/>
          <w:sz w:val="28"/>
          <w:szCs w:val="28"/>
        </w:rPr>
        <w:t>Sierra Club v. Davies</w:t>
      </w:r>
      <w:r w:rsidRPr="00F61063" w:rsidR="00F61063">
        <w:rPr>
          <w:sz w:val="28"/>
          <w:szCs w:val="28"/>
        </w:rPr>
        <w:t>, 955 F.2d 1188 (8th Cir. 1992)</w:t>
      </w:r>
      <w:r w:rsidR="00F61063">
        <w:rPr>
          <w:sz w:val="28"/>
          <w:szCs w:val="28"/>
        </w:rPr>
        <w:t xml:space="preserve">.  </w:t>
      </w:r>
      <w:bookmarkEnd w:id="19"/>
    </w:p>
    <w:p w:rsidR="006A44D9" w:rsidP="00762D90" w14:paraId="6A83BE63" w14:textId="52C4AE59">
      <w:pPr>
        <w:jc w:val="both"/>
        <w:rPr>
          <w:sz w:val="28"/>
          <w:szCs w:val="28"/>
        </w:rPr>
      </w:pPr>
      <w:r>
        <w:rPr>
          <w:sz w:val="28"/>
          <w:szCs w:val="28"/>
        </w:rPr>
        <w:tab/>
        <w:t>Put another way</w:t>
      </w:r>
      <w:r w:rsidR="00215C2A">
        <w:rPr>
          <w:sz w:val="28"/>
          <w:szCs w:val="28"/>
        </w:rPr>
        <w:t>, “a</w:t>
      </w:r>
      <w:r w:rsidR="00207BAD">
        <w:rPr>
          <w:sz w:val="28"/>
          <w:szCs w:val="28"/>
        </w:rPr>
        <w:t>n</w:t>
      </w:r>
      <w:r w:rsidR="00ED6C1E">
        <w:rPr>
          <w:sz w:val="28"/>
          <w:szCs w:val="28"/>
        </w:rPr>
        <w:t xml:space="preserve"> agency rule would be arbitrary and capricious if the agency has relied on factors which Congress has not intended it to consider, entirely failed to consider an important aspect of the problem</w:t>
      </w:r>
      <w:r w:rsidR="00207BAD">
        <w:rPr>
          <w:sz w:val="28"/>
          <w:szCs w:val="28"/>
        </w:rPr>
        <w:t xml:space="preserve">, offered an explanation for its decision that runs counter to the evidence before the agency, or is so implausible that it could not be ascribed to a difference in view or the product of agency expertise.”  </w:t>
      </w:r>
      <w:r w:rsidRPr="00207BAD" w:rsidR="00207BAD">
        <w:rPr>
          <w:i/>
          <w:iCs/>
          <w:sz w:val="28"/>
          <w:szCs w:val="28"/>
        </w:rPr>
        <w:t>Motor Veh</w:t>
      </w:r>
      <w:r w:rsidR="00E02699">
        <w:rPr>
          <w:i/>
          <w:iCs/>
          <w:sz w:val="28"/>
          <w:szCs w:val="28"/>
        </w:rPr>
        <w:t>.</w:t>
      </w:r>
      <w:r w:rsidRPr="00207BAD" w:rsidR="00207BAD">
        <w:rPr>
          <w:i/>
          <w:iCs/>
          <w:sz w:val="28"/>
          <w:szCs w:val="28"/>
        </w:rPr>
        <w:t xml:space="preserve"> Mfrs. Ass’n</w:t>
      </w:r>
      <w:r w:rsidRPr="00207BAD" w:rsidR="00207BAD">
        <w:rPr>
          <w:sz w:val="28"/>
          <w:szCs w:val="28"/>
        </w:rPr>
        <w:t xml:space="preserve">, 463 U.S. at </w:t>
      </w:r>
      <w:r w:rsidR="00207BAD">
        <w:rPr>
          <w:sz w:val="28"/>
          <w:szCs w:val="28"/>
        </w:rPr>
        <w:t>43</w:t>
      </w:r>
      <w:r w:rsidRPr="00207BAD" w:rsidR="00207BAD">
        <w:rPr>
          <w:sz w:val="28"/>
          <w:szCs w:val="28"/>
        </w:rPr>
        <w:t>.</w:t>
      </w:r>
      <w:r w:rsidR="00207BAD">
        <w:rPr>
          <w:sz w:val="28"/>
          <w:szCs w:val="28"/>
        </w:rPr>
        <w:t xml:space="preserve"> </w:t>
      </w:r>
      <w:bookmarkStart w:id="20" w:name="OLE_LINK21"/>
      <w:r w:rsidR="00C83CEE">
        <w:rPr>
          <w:sz w:val="28"/>
          <w:szCs w:val="28"/>
        </w:rPr>
        <w:t>Thus, the “agency must cogently explain why it has expressed its discretion in a given manner” and</w:t>
      </w:r>
      <w:r w:rsidR="00E52E73">
        <w:rPr>
          <w:sz w:val="28"/>
          <w:szCs w:val="28"/>
        </w:rPr>
        <w:t xml:space="preserve"> effectively show</w:t>
      </w:r>
      <w:r w:rsidR="00C83CEE">
        <w:rPr>
          <w:sz w:val="28"/>
          <w:szCs w:val="28"/>
        </w:rPr>
        <w:t xml:space="preserve"> tha</w:t>
      </w:r>
      <w:r w:rsidR="00AA0BB5">
        <w:rPr>
          <w:sz w:val="28"/>
          <w:szCs w:val="28"/>
        </w:rPr>
        <w:t>t it</w:t>
      </w:r>
      <w:r w:rsidR="00E52E73">
        <w:rPr>
          <w:sz w:val="28"/>
          <w:szCs w:val="28"/>
        </w:rPr>
        <w:t>s decision</w:t>
      </w:r>
      <w:r w:rsidR="00AA0BB5">
        <w:rPr>
          <w:sz w:val="28"/>
          <w:szCs w:val="28"/>
        </w:rPr>
        <w:t xml:space="preserve"> was a “product of reasoned decision</w:t>
      </w:r>
      <w:r w:rsidR="00E52E73">
        <w:rPr>
          <w:sz w:val="28"/>
          <w:szCs w:val="28"/>
        </w:rPr>
        <w:t xml:space="preserve"> </w:t>
      </w:r>
      <w:r w:rsidR="00AA0BB5">
        <w:rPr>
          <w:sz w:val="28"/>
          <w:szCs w:val="28"/>
        </w:rPr>
        <w:t xml:space="preserve">making.” </w:t>
      </w:r>
      <w:bookmarkStart w:id="21" w:name="OLE_LINK27"/>
      <w:r>
        <w:rPr>
          <w:i/>
          <w:iCs/>
          <w:sz w:val="28"/>
          <w:szCs w:val="28"/>
        </w:rPr>
        <w:t>Id.</w:t>
      </w:r>
      <w:r w:rsidR="00AA0BB5">
        <w:rPr>
          <w:sz w:val="28"/>
          <w:szCs w:val="28"/>
        </w:rPr>
        <w:t xml:space="preserve"> at 48, 52.</w:t>
      </w:r>
      <w:bookmarkEnd w:id="20"/>
      <w:bookmarkEnd w:id="21"/>
      <w:r>
        <w:rPr>
          <w:sz w:val="28"/>
          <w:szCs w:val="28"/>
        </w:rPr>
        <w:t xml:space="preserve"> To satisfy that requirement, the agency is required to consider </w:t>
      </w:r>
      <w:r>
        <w:rPr>
          <w:i/>
          <w:iCs/>
          <w:sz w:val="28"/>
          <w:szCs w:val="28"/>
        </w:rPr>
        <w:t xml:space="preserve">and </w:t>
      </w:r>
      <w:r>
        <w:rPr>
          <w:sz w:val="28"/>
          <w:szCs w:val="28"/>
        </w:rPr>
        <w:t>respond to sign</w:t>
      </w:r>
      <w:r w:rsidR="00B14139">
        <w:rPr>
          <w:sz w:val="28"/>
          <w:szCs w:val="28"/>
        </w:rPr>
        <w:t>i</w:t>
      </w:r>
      <w:r>
        <w:rPr>
          <w:sz w:val="28"/>
          <w:szCs w:val="28"/>
        </w:rPr>
        <w:t xml:space="preserve">ficant comments. </w:t>
      </w:r>
      <w:bookmarkStart w:id="22" w:name="OLE_LINK28"/>
      <w:r w:rsidR="001879E7">
        <w:rPr>
          <w:i/>
          <w:iCs/>
          <w:sz w:val="28"/>
          <w:szCs w:val="28"/>
        </w:rPr>
        <w:t xml:space="preserve">See, e.g., </w:t>
      </w:r>
      <w:r>
        <w:rPr>
          <w:i/>
          <w:iCs/>
          <w:sz w:val="28"/>
          <w:szCs w:val="28"/>
        </w:rPr>
        <w:t>Hussian v. Madigan</w:t>
      </w:r>
      <w:r>
        <w:rPr>
          <w:sz w:val="28"/>
          <w:szCs w:val="28"/>
        </w:rPr>
        <w:t>, 950 F.2d 1546, 1554 (11th Cir. 1992)</w:t>
      </w:r>
      <w:r w:rsidR="00B4014E">
        <w:rPr>
          <w:sz w:val="28"/>
          <w:szCs w:val="28"/>
        </w:rPr>
        <w:t>;</w:t>
      </w:r>
      <w:r>
        <w:rPr>
          <w:i/>
          <w:iCs/>
          <w:sz w:val="28"/>
          <w:szCs w:val="28"/>
        </w:rPr>
        <w:t xml:space="preserve"> Balt. Gas &amp; Elec. Co. v. United States</w:t>
      </w:r>
      <w:r>
        <w:rPr>
          <w:sz w:val="28"/>
          <w:szCs w:val="28"/>
        </w:rPr>
        <w:t>, 817 F.2d 108, 116 (D.C. Cir. 1987).</w:t>
      </w:r>
      <w:bookmarkEnd w:id="22"/>
      <w:r>
        <w:rPr>
          <w:sz w:val="28"/>
          <w:szCs w:val="28"/>
        </w:rPr>
        <w:t xml:space="preserve">  </w:t>
      </w:r>
    </w:p>
    <w:p w:rsidR="001879E7" w:rsidRPr="001879E7" w:rsidP="00762D90" w14:paraId="2C87CBE9" w14:textId="1A797DE5">
      <w:pPr>
        <w:jc w:val="both"/>
        <w:rPr>
          <w:sz w:val="28"/>
          <w:szCs w:val="28"/>
        </w:rPr>
      </w:pPr>
      <w:r>
        <w:rPr>
          <w:sz w:val="28"/>
          <w:szCs w:val="28"/>
        </w:rPr>
        <w:tab/>
        <w:t xml:space="preserve">In promulgating the Blocked Income Rule, the IRS did not consider </w:t>
      </w:r>
      <w:r>
        <w:rPr>
          <w:i/>
          <w:iCs/>
          <w:sz w:val="28"/>
          <w:szCs w:val="28"/>
        </w:rPr>
        <w:t xml:space="preserve">or </w:t>
      </w:r>
      <w:r>
        <w:rPr>
          <w:sz w:val="28"/>
          <w:szCs w:val="28"/>
        </w:rPr>
        <w:t>respond to sign</w:t>
      </w:r>
      <w:r w:rsidR="00B14139">
        <w:rPr>
          <w:sz w:val="28"/>
          <w:szCs w:val="28"/>
        </w:rPr>
        <w:t>i</w:t>
      </w:r>
      <w:r>
        <w:rPr>
          <w:sz w:val="28"/>
          <w:szCs w:val="28"/>
        </w:rPr>
        <w:t>ficant comments. Many examples make that clear</w:t>
      </w:r>
      <w:r w:rsidR="00B14139">
        <w:rPr>
          <w:sz w:val="28"/>
          <w:szCs w:val="28"/>
        </w:rPr>
        <w:t>;</w:t>
      </w:r>
      <w:r>
        <w:rPr>
          <w:sz w:val="28"/>
          <w:szCs w:val="28"/>
        </w:rPr>
        <w:t xml:space="preserve"> the following discussion addresses four illustrative comments for the Court’s consideration.</w:t>
      </w:r>
    </w:p>
    <w:p w:rsidR="00F61063" w:rsidP="00762D90" w14:paraId="561CDC60" w14:textId="3C95120E">
      <w:pPr>
        <w:jc w:val="both"/>
        <w:rPr>
          <w:sz w:val="28"/>
          <w:szCs w:val="28"/>
        </w:rPr>
      </w:pPr>
      <w:r>
        <w:rPr>
          <w:i/>
          <w:iCs/>
          <w:sz w:val="28"/>
          <w:szCs w:val="28"/>
        </w:rPr>
        <w:tab/>
        <w:t>F</w:t>
      </w:r>
      <w:r w:rsidR="00B5168E">
        <w:rPr>
          <w:i/>
          <w:iCs/>
          <w:sz w:val="28"/>
          <w:szCs w:val="28"/>
        </w:rPr>
        <w:t>irst</w:t>
      </w:r>
      <w:r w:rsidR="00B5168E">
        <w:rPr>
          <w:sz w:val="28"/>
          <w:szCs w:val="28"/>
        </w:rPr>
        <w:t>, t</w:t>
      </w:r>
      <w:r w:rsidR="0039117D">
        <w:rPr>
          <w:sz w:val="28"/>
          <w:szCs w:val="28"/>
        </w:rPr>
        <w:t>he Tax Executives Institute</w:t>
      </w:r>
      <w:r w:rsidR="00FF58CE">
        <w:rPr>
          <w:sz w:val="28"/>
          <w:szCs w:val="28"/>
        </w:rPr>
        <w:t xml:space="preserve"> (“TEI”)</w:t>
      </w:r>
      <w:r w:rsidR="00B5168E">
        <w:rPr>
          <w:sz w:val="28"/>
          <w:szCs w:val="28"/>
        </w:rPr>
        <w:t xml:space="preserve"> commented that </w:t>
      </w:r>
      <w:r w:rsidR="00D25B77">
        <w:rPr>
          <w:sz w:val="28"/>
          <w:szCs w:val="28"/>
        </w:rPr>
        <w:t xml:space="preserve">the </w:t>
      </w:r>
      <w:r w:rsidR="00B5168E">
        <w:rPr>
          <w:sz w:val="28"/>
          <w:szCs w:val="28"/>
        </w:rPr>
        <w:t>then-proposed regulation</w:t>
      </w:r>
      <w:r w:rsidR="00FF58CE">
        <w:rPr>
          <w:sz w:val="28"/>
          <w:szCs w:val="28"/>
        </w:rPr>
        <w:t xml:space="preserve"> </w:t>
      </w:r>
      <w:r w:rsidR="008E7C4F">
        <w:rPr>
          <w:sz w:val="28"/>
          <w:szCs w:val="28"/>
        </w:rPr>
        <w:t>“constitue[d] a not-so-subtle attempt to overrule”</w:t>
      </w:r>
      <w:r w:rsidRPr="00D25B77" w:rsidR="00D25B77">
        <w:rPr>
          <w:sz w:val="28"/>
          <w:szCs w:val="28"/>
        </w:rPr>
        <w:t xml:space="preserve"> the Court of Appeals for the Sixth Circuit</w:t>
      </w:r>
      <w:r w:rsidR="008E7C4F">
        <w:rPr>
          <w:sz w:val="28"/>
          <w:szCs w:val="28"/>
        </w:rPr>
        <w:t xml:space="preserve">’s decision in </w:t>
      </w:r>
      <w:r w:rsidR="008E7C4F">
        <w:rPr>
          <w:i/>
          <w:iCs/>
          <w:sz w:val="28"/>
          <w:szCs w:val="28"/>
        </w:rPr>
        <w:t xml:space="preserve">Procter &amp; Gamble Co. v. </w:t>
      </w:r>
      <w:r w:rsidR="00010D68">
        <w:rPr>
          <w:i/>
          <w:iCs/>
          <w:sz w:val="28"/>
          <w:szCs w:val="28"/>
        </w:rPr>
        <w:t>Commissioner</w:t>
      </w:r>
      <w:r w:rsidR="00D25B77">
        <w:rPr>
          <w:sz w:val="28"/>
          <w:szCs w:val="28"/>
        </w:rPr>
        <w:t xml:space="preserve">.  </w:t>
      </w:r>
      <w:r w:rsidR="00CB28F8">
        <w:rPr>
          <w:sz w:val="28"/>
          <w:szCs w:val="28"/>
        </w:rPr>
        <w:t>(Stipulation, Ex. 41-J).</w:t>
      </w:r>
      <w:r w:rsidR="009C4771">
        <w:rPr>
          <w:sz w:val="28"/>
          <w:szCs w:val="28"/>
        </w:rPr>
        <w:t xml:space="preserve"> </w:t>
      </w:r>
      <w:r w:rsidR="00CA728C">
        <w:rPr>
          <w:sz w:val="28"/>
          <w:szCs w:val="28"/>
        </w:rPr>
        <w:t>Besides objecting to the overreach of the IRS in attempting to overturn settled precedent</w:t>
      </w:r>
      <w:r w:rsidR="00FF58CE">
        <w:rPr>
          <w:sz w:val="28"/>
          <w:szCs w:val="28"/>
        </w:rPr>
        <w:t xml:space="preserve">, TEI noted that </w:t>
      </w:r>
      <w:r w:rsidR="002353B9">
        <w:rPr>
          <w:sz w:val="28"/>
          <w:szCs w:val="28"/>
        </w:rPr>
        <w:t xml:space="preserve">the legal restriction for Blocked Income Rule </w:t>
      </w:r>
      <w:r w:rsidR="00CA728C">
        <w:rPr>
          <w:sz w:val="28"/>
          <w:szCs w:val="28"/>
        </w:rPr>
        <w:t>did not apply to all businesses equally</w:t>
      </w:r>
      <w:r w:rsidR="002353B9">
        <w:rPr>
          <w:sz w:val="28"/>
          <w:szCs w:val="28"/>
        </w:rPr>
        <w:t xml:space="preserve">. </w:t>
      </w:r>
      <w:r w:rsidRPr="00762D90" w:rsidR="00762D90">
        <w:rPr>
          <w:sz w:val="28"/>
          <w:szCs w:val="28"/>
        </w:rPr>
        <w:t xml:space="preserve">Also, </w:t>
      </w:r>
      <w:r w:rsidR="002353B9">
        <w:rPr>
          <w:sz w:val="28"/>
          <w:szCs w:val="28"/>
        </w:rPr>
        <w:t xml:space="preserve">TEI pointed out the </w:t>
      </w:r>
      <w:r w:rsidR="00E36A23">
        <w:rPr>
          <w:sz w:val="28"/>
          <w:szCs w:val="28"/>
        </w:rPr>
        <w:t>timing i</w:t>
      </w:r>
      <w:r w:rsidR="002353B9">
        <w:rPr>
          <w:sz w:val="28"/>
          <w:szCs w:val="28"/>
        </w:rPr>
        <w:t xml:space="preserve">n the proposed rule </w:t>
      </w:r>
      <w:r w:rsidR="00CA728C">
        <w:rPr>
          <w:sz w:val="28"/>
          <w:szCs w:val="28"/>
        </w:rPr>
        <w:t>created a “trap for the unwary,” stating that “a ta</w:t>
      </w:r>
      <w:r w:rsidR="00E36A23">
        <w:rPr>
          <w:sz w:val="28"/>
          <w:szCs w:val="28"/>
        </w:rPr>
        <w:t xml:space="preserve">xpayer who believes its pricing satisfies the arm’s length standard will not make the deferred income method election – it will have no reason to do so (except on a speculative, protective basis).” Thus, </w:t>
      </w:r>
      <w:r w:rsidR="002353B9">
        <w:rPr>
          <w:sz w:val="28"/>
          <w:szCs w:val="28"/>
        </w:rPr>
        <w:t xml:space="preserve">TEI </w:t>
      </w:r>
      <w:r w:rsidR="00E36A23">
        <w:rPr>
          <w:sz w:val="28"/>
          <w:szCs w:val="28"/>
        </w:rPr>
        <w:t xml:space="preserve">concluded </w:t>
      </w:r>
      <w:r w:rsidR="002353B9">
        <w:rPr>
          <w:sz w:val="28"/>
          <w:szCs w:val="28"/>
        </w:rPr>
        <w:t xml:space="preserve">that </w:t>
      </w:r>
      <w:r w:rsidR="00EE6957">
        <w:rPr>
          <w:sz w:val="28"/>
          <w:szCs w:val="28"/>
        </w:rPr>
        <w:t xml:space="preserve">the then-current </w:t>
      </w:r>
      <w:r w:rsidR="002353B9">
        <w:rPr>
          <w:sz w:val="28"/>
          <w:szCs w:val="28"/>
        </w:rPr>
        <w:t xml:space="preserve">regulations appropriately balanced the </w:t>
      </w:r>
      <w:r w:rsidR="004F513F">
        <w:rPr>
          <w:sz w:val="28"/>
          <w:szCs w:val="28"/>
        </w:rPr>
        <w:t xml:space="preserve">relevant </w:t>
      </w:r>
      <w:r w:rsidR="002353B9">
        <w:rPr>
          <w:sz w:val="28"/>
          <w:szCs w:val="28"/>
        </w:rPr>
        <w:t xml:space="preserve">interests as </w:t>
      </w:r>
      <w:r w:rsidR="004F513F">
        <w:rPr>
          <w:sz w:val="28"/>
          <w:szCs w:val="28"/>
        </w:rPr>
        <w:t xml:space="preserve">they </w:t>
      </w:r>
      <w:r w:rsidR="002353B9">
        <w:rPr>
          <w:sz w:val="28"/>
          <w:szCs w:val="28"/>
        </w:rPr>
        <w:t xml:space="preserve">allowed for an election </w:t>
      </w:r>
      <w:r w:rsidRPr="00762D90" w:rsidR="00762D90">
        <w:rPr>
          <w:sz w:val="28"/>
          <w:szCs w:val="28"/>
        </w:rPr>
        <w:t>after the adjustment ha</w:t>
      </w:r>
      <w:r w:rsidR="004F513F">
        <w:rPr>
          <w:sz w:val="28"/>
          <w:szCs w:val="28"/>
        </w:rPr>
        <w:t>d</w:t>
      </w:r>
      <w:r w:rsidRPr="00762D90" w:rsidR="00762D90">
        <w:rPr>
          <w:sz w:val="28"/>
          <w:szCs w:val="28"/>
        </w:rPr>
        <w:t xml:space="preserve"> been made</w:t>
      </w:r>
      <w:r w:rsidR="004F513F">
        <w:rPr>
          <w:sz w:val="28"/>
          <w:szCs w:val="28"/>
        </w:rPr>
        <w:t xml:space="preserve"> and</w:t>
      </w:r>
      <w:r w:rsidRPr="00762D90" w:rsidR="00762D90">
        <w:rPr>
          <w:sz w:val="28"/>
          <w:szCs w:val="28"/>
        </w:rPr>
        <w:t xml:space="preserve"> before the </w:t>
      </w:r>
      <w:r w:rsidRPr="001E5BB1" w:rsidR="00762D90">
        <w:rPr>
          <w:sz w:val="28"/>
          <w:szCs w:val="28"/>
        </w:rPr>
        <w:t>occurrence of certain events.</w:t>
      </w:r>
    </w:p>
    <w:p w:rsidR="00741FBD" w:rsidP="00F61063" w14:paraId="15EAB9CD" w14:textId="21FD9627">
      <w:pPr>
        <w:jc w:val="both"/>
        <w:rPr>
          <w:sz w:val="28"/>
          <w:szCs w:val="28"/>
        </w:rPr>
      </w:pPr>
      <w:r>
        <w:rPr>
          <w:i/>
          <w:iCs/>
          <w:sz w:val="28"/>
          <w:szCs w:val="28"/>
        </w:rPr>
        <w:tab/>
        <w:t xml:space="preserve">Second, </w:t>
      </w:r>
      <w:r>
        <w:rPr>
          <w:sz w:val="28"/>
          <w:szCs w:val="28"/>
        </w:rPr>
        <w:t xml:space="preserve">the American Petroleum Institute </w:t>
      </w:r>
      <w:r w:rsidR="008F6EBE">
        <w:rPr>
          <w:sz w:val="28"/>
          <w:szCs w:val="28"/>
        </w:rPr>
        <w:t xml:space="preserve">(“API”) </w:t>
      </w:r>
      <w:r w:rsidR="002353B9">
        <w:rPr>
          <w:sz w:val="28"/>
          <w:szCs w:val="28"/>
        </w:rPr>
        <w:t xml:space="preserve">also submitted a </w:t>
      </w:r>
      <w:r w:rsidR="00E926DF">
        <w:rPr>
          <w:sz w:val="28"/>
          <w:szCs w:val="28"/>
        </w:rPr>
        <w:t>comment</w:t>
      </w:r>
      <w:r w:rsidR="004F513F">
        <w:rPr>
          <w:sz w:val="28"/>
          <w:szCs w:val="28"/>
        </w:rPr>
        <w:t>, ignored by the IRS, directly bearing on one of the main issues in this appeal.</w:t>
      </w:r>
      <w:r w:rsidR="00E926DF">
        <w:rPr>
          <w:sz w:val="28"/>
          <w:szCs w:val="28"/>
        </w:rPr>
        <w:t xml:space="preserve"> </w:t>
      </w:r>
      <w:r w:rsidR="005B1D3F">
        <w:rPr>
          <w:sz w:val="28"/>
          <w:szCs w:val="28"/>
        </w:rPr>
        <w:t>(Stipulation, Ex. 40-J).</w:t>
      </w:r>
      <w:r w:rsidR="00E926DF">
        <w:rPr>
          <w:sz w:val="28"/>
          <w:szCs w:val="28"/>
        </w:rPr>
        <w:t xml:space="preserve"> In the comment, API </w:t>
      </w:r>
      <w:r w:rsidR="008F6EBE">
        <w:rPr>
          <w:sz w:val="28"/>
          <w:szCs w:val="28"/>
        </w:rPr>
        <w:t xml:space="preserve">emphasized that the then-proposed regulation cannot </w:t>
      </w:r>
      <w:r w:rsidR="004F64E2">
        <w:rPr>
          <w:sz w:val="28"/>
          <w:szCs w:val="28"/>
        </w:rPr>
        <w:t>effectively o</w:t>
      </w:r>
      <w:bookmarkStart w:id="23" w:name="OLE_LINK30"/>
      <w:r w:rsidR="004F64E2">
        <w:rPr>
          <w:sz w:val="28"/>
          <w:szCs w:val="28"/>
        </w:rPr>
        <w:t>verrule the reasoning of the U.S. Supreme Court and the Court of Appeals for the Sixth Circuit:</w:t>
      </w:r>
      <w:r w:rsidR="008F6EBE">
        <w:rPr>
          <w:sz w:val="28"/>
          <w:szCs w:val="28"/>
        </w:rPr>
        <w:t xml:space="preserve"> </w:t>
      </w:r>
      <w:bookmarkStart w:id="24" w:name="OLE_LINK29"/>
      <w:r w:rsidR="00334839">
        <w:rPr>
          <w:i/>
          <w:iCs/>
          <w:sz w:val="28"/>
          <w:szCs w:val="28"/>
        </w:rPr>
        <w:t>Comm</w:t>
      </w:r>
      <w:r w:rsidR="009C4771">
        <w:rPr>
          <w:i/>
          <w:iCs/>
          <w:sz w:val="28"/>
          <w:szCs w:val="28"/>
        </w:rPr>
        <w:t>issione</w:t>
      </w:r>
      <w:r w:rsidR="00334839">
        <w:rPr>
          <w:i/>
          <w:iCs/>
          <w:sz w:val="28"/>
          <w:szCs w:val="28"/>
        </w:rPr>
        <w:t xml:space="preserve">r v. </w:t>
      </w:r>
      <w:r w:rsidR="008F6EBE">
        <w:rPr>
          <w:i/>
          <w:iCs/>
          <w:sz w:val="28"/>
          <w:szCs w:val="28"/>
        </w:rPr>
        <w:t>First Security Bank</w:t>
      </w:r>
      <w:r w:rsidR="00334839">
        <w:rPr>
          <w:sz w:val="28"/>
          <w:szCs w:val="28"/>
        </w:rPr>
        <w:t xml:space="preserve">, </w:t>
      </w:r>
      <w:r w:rsidR="004F64E2">
        <w:rPr>
          <w:sz w:val="28"/>
          <w:szCs w:val="28"/>
        </w:rPr>
        <w:t>405 U.S. 394 (1972),</w:t>
      </w:r>
      <w:r w:rsidR="008F6EBE">
        <w:rPr>
          <w:i/>
          <w:iCs/>
          <w:sz w:val="28"/>
          <w:szCs w:val="28"/>
        </w:rPr>
        <w:t xml:space="preserve"> </w:t>
      </w:r>
      <w:r w:rsidR="008F6EBE">
        <w:rPr>
          <w:sz w:val="28"/>
          <w:szCs w:val="28"/>
        </w:rPr>
        <w:t xml:space="preserve">and </w:t>
      </w:r>
      <w:bookmarkStart w:id="25" w:name="OLE_LINK19"/>
      <w:r w:rsidR="008F6EBE">
        <w:rPr>
          <w:i/>
          <w:iCs/>
          <w:sz w:val="28"/>
          <w:szCs w:val="28"/>
        </w:rPr>
        <w:t>Proctor &amp; Gamble</w:t>
      </w:r>
      <w:r w:rsidR="00334839">
        <w:rPr>
          <w:i/>
          <w:iCs/>
          <w:sz w:val="28"/>
          <w:szCs w:val="28"/>
        </w:rPr>
        <w:t xml:space="preserve"> v. Comm</w:t>
      </w:r>
      <w:r w:rsidR="009C4771">
        <w:rPr>
          <w:i/>
          <w:iCs/>
          <w:sz w:val="28"/>
          <w:szCs w:val="28"/>
        </w:rPr>
        <w:t>issioner</w:t>
      </w:r>
      <w:r w:rsidR="00334839">
        <w:rPr>
          <w:sz w:val="28"/>
          <w:szCs w:val="28"/>
        </w:rPr>
        <w:t>, 961 F.2d 1255 (6th Cir. 1992)</w:t>
      </w:r>
      <w:r w:rsidR="008F6EBE">
        <w:rPr>
          <w:sz w:val="28"/>
          <w:szCs w:val="28"/>
        </w:rPr>
        <w:t xml:space="preserve">. </w:t>
      </w:r>
      <w:bookmarkEnd w:id="23"/>
      <w:bookmarkEnd w:id="24"/>
      <w:bookmarkEnd w:id="25"/>
      <w:r w:rsidR="00B20E90">
        <w:rPr>
          <w:sz w:val="28"/>
          <w:szCs w:val="28"/>
        </w:rPr>
        <w:t>Thus, API pointed out that the proposal simply reflected the IRS’s current litigation position—that these cases were wrongly decided—</w:t>
      </w:r>
      <w:r>
        <w:rPr>
          <w:sz w:val="28"/>
          <w:szCs w:val="28"/>
        </w:rPr>
        <w:t>rather than appropriately apply</w:t>
      </w:r>
      <w:r w:rsidR="004F513F">
        <w:rPr>
          <w:sz w:val="28"/>
          <w:szCs w:val="28"/>
        </w:rPr>
        <w:t>ing</w:t>
      </w:r>
      <w:r>
        <w:rPr>
          <w:sz w:val="28"/>
          <w:szCs w:val="28"/>
        </w:rPr>
        <w:t xml:space="preserve"> the current status of the law to the agency’s action. </w:t>
      </w:r>
    </w:p>
    <w:p w:rsidR="00B5168E" w:rsidRPr="008F6EBE" w:rsidP="00F61063" w14:paraId="498ABCB7" w14:textId="58E54A5B">
      <w:pPr>
        <w:jc w:val="both"/>
        <w:rPr>
          <w:sz w:val="28"/>
          <w:szCs w:val="28"/>
        </w:rPr>
      </w:pPr>
      <w:r>
        <w:rPr>
          <w:sz w:val="28"/>
          <w:szCs w:val="28"/>
        </w:rPr>
        <w:tab/>
      </w:r>
      <w:r w:rsidR="008F6EBE">
        <w:rPr>
          <w:sz w:val="28"/>
          <w:szCs w:val="28"/>
        </w:rPr>
        <w:t>API</w:t>
      </w:r>
      <w:r w:rsidR="00E926DF">
        <w:rPr>
          <w:sz w:val="28"/>
          <w:szCs w:val="28"/>
        </w:rPr>
        <w:t xml:space="preserve"> next explained</w:t>
      </w:r>
      <w:r w:rsidR="008F6EBE">
        <w:rPr>
          <w:sz w:val="28"/>
          <w:szCs w:val="28"/>
        </w:rPr>
        <w:t xml:space="preserve"> that the </w:t>
      </w:r>
      <w:r>
        <w:rPr>
          <w:sz w:val="28"/>
          <w:szCs w:val="28"/>
        </w:rPr>
        <w:t xml:space="preserve">proposed </w:t>
      </w:r>
      <w:r w:rsidR="008C76F0">
        <w:rPr>
          <w:sz w:val="28"/>
          <w:szCs w:val="28"/>
        </w:rPr>
        <w:t xml:space="preserve">regulations and restrictions </w:t>
      </w:r>
      <w:r w:rsidR="004F513F">
        <w:rPr>
          <w:sz w:val="28"/>
          <w:szCs w:val="28"/>
        </w:rPr>
        <w:t>we</w:t>
      </w:r>
      <w:r w:rsidR="008C76F0">
        <w:rPr>
          <w:sz w:val="28"/>
          <w:szCs w:val="28"/>
        </w:rPr>
        <w:t xml:space="preserve">re unrealistic and problematic. </w:t>
      </w:r>
      <w:r w:rsidR="00023B90">
        <w:rPr>
          <w:sz w:val="28"/>
          <w:szCs w:val="28"/>
        </w:rPr>
        <w:t>The proposed regulation</w:t>
      </w:r>
      <w:r w:rsidR="004F513F">
        <w:rPr>
          <w:sz w:val="28"/>
          <w:szCs w:val="28"/>
        </w:rPr>
        <w:t>, API warned, was</w:t>
      </w:r>
      <w:r>
        <w:rPr>
          <w:sz w:val="28"/>
          <w:szCs w:val="28"/>
        </w:rPr>
        <w:t xml:space="preserve"> rife with ambiguity that w</w:t>
      </w:r>
      <w:r w:rsidR="004F513F">
        <w:rPr>
          <w:sz w:val="28"/>
          <w:szCs w:val="28"/>
        </w:rPr>
        <w:t>ould</w:t>
      </w:r>
      <w:r>
        <w:rPr>
          <w:sz w:val="28"/>
          <w:szCs w:val="28"/>
        </w:rPr>
        <w:t xml:space="preserve"> only ensure the continua</w:t>
      </w:r>
      <w:r w:rsidR="007E72A4">
        <w:rPr>
          <w:sz w:val="28"/>
          <w:szCs w:val="28"/>
        </w:rPr>
        <w:t xml:space="preserve">tion of litigation in this area.  In fact, API argued that the </w:t>
      </w:r>
      <w:r w:rsidR="008C76F0">
        <w:rPr>
          <w:sz w:val="28"/>
          <w:szCs w:val="28"/>
        </w:rPr>
        <w:t xml:space="preserve">proposed regulation created more ambiguity because it was departing from the settled principles in the case law. </w:t>
      </w:r>
      <w:r w:rsidR="00E926DF">
        <w:rPr>
          <w:sz w:val="28"/>
          <w:szCs w:val="28"/>
        </w:rPr>
        <w:t xml:space="preserve">Further, API asserted that </w:t>
      </w:r>
      <w:r w:rsidR="00BE12C2">
        <w:rPr>
          <w:sz w:val="28"/>
          <w:szCs w:val="28"/>
        </w:rPr>
        <w:t xml:space="preserve">the issues with the regulation and exception </w:t>
      </w:r>
      <w:r w:rsidR="004F513F">
        <w:rPr>
          <w:sz w:val="28"/>
          <w:szCs w:val="28"/>
        </w:rPr>
        <w:t>w</w:t>
      </w:r>
      <w:r w:rsidR="005815D6">
        <w:rPr>
          <w:sz w:val="28"/>
          <w:szCs w:val="28"/>
        </w:rPr>
        <w:t>ere</w:t>
      </w:r>
      <w:r w:rsidR="00BE12C2">
        <w:rPr>
          <w:sz w:val="28"/>
          <w:szCs w:val="28"/>
        </w:rPr>
        <w:t xml:space="preserve"> particularly acute </w:t>
      </w:r>
      <w:r w:rsidR="005815D6">
        <w:rPr>
          <w:sz w:val="28"/>
          <w:szCs w:val="28"/>
        </w:rPr>
        <w:t>for</w:t>
      </w:r>
      <w:r w:rsidR="00BE12C2">
        <w:rPr>
          <w:sz w:val="28"/>
          <w:szCs w:val="28"/>
        </w:rPr>
        <w:t xml:space="preserve"> the oil industry because of the increased level of scrutiny that industry </w:t>
      </w:r>
      <w:r w:rsidR="005815D6">
        <w:rPr>
          <w:sz w:val="28"/>
          <w:szCs w:val="28"/>
        </w:rPr>
        <w:t>faces from</w:t>
      </w:r>
      <w:r w:rsidR="00BE12C2">
        <w:rPr>
          <w:sz w:val="28"/>
          <w:szCs w:val="28"/>
        </w:rPr>
        <w:t xml:space="preserve"> both sovereign governments and transnational organizations. </w:t>
      </w:r>
      <w:r w:rsidR="005B1D3F">
        <w:rPr>
          <w:sz w:val="28"/>
          <w:szCs w:val="28"/>
        </w:rPr>
        <w:t>Specifically, API stated that the regulations imposed a series of restrictions which would effectively negate the intended relief in the proposed rule and would be ineff</w:t>
      </w:r>
      <w:r w:rsidR="00E926DF">
        <w:rPr>
          <w:sz w:val="28"/>
          <w:szCs w:val="28"/>
        </w:rPr>
        <w:t xml:space="preserve">ective </w:t>
      </w:r>
      <w:r w:rsidR="005B1D3F">
        <w:rPr>
          <w:sz w:val="28"/>
          <w:szCs w:val="28"/>
        </w:rPr>
        <w:t xml:space="preserve">in </w:t>
      </w:r>
      <w:r w:rsidR="00E926DF">
        <w:rPr>
          <w:sz w:val="28"/>
          <w:szCs w:val="28"/>
        </w:rPr>
        <w:t>protect</w:t>
      </w:r>
      <w:r w:rsidR="005B1D3F">
        <w:rPr>
          <w:sz w:val="28"/>
          <w:szCs w:val="28"/>
        </w:rPr>
        <w:t>ing</w:t>
      </w:r>
      <w:r w:rsidR="00E926DF">
        <w:rPr>
          <w:sz w:val="28"/>
          <w:szCs w:val="28"/>
        </w:rPr>
        <w:t xml:space="preserve"> innocent companies from </w:t>
      </w:r>
      <w:r w:rsidR="00FF75C9">
        <w:rPr>
          <w:sz w:val="28"/>
          <w:szCs w:val="28"/>
        </w:rPr>
        <w:t>being subject to double taxation</w:t>
      </w:r>
      <w:r w:rsidR="00E926DF">
        <w:rPr>
          <w:sz w:val="28"/>
          <w:szCs w:val="28"/>
        </w:rPr>
        <w:t xml:space="preserve">. </w:t>
      </w:r>
      <w:r w:rsidR="00232717">
        <w:rPr>
          <w:sz w:val="28"/>
          <w:szCs w:val="28"/>
        </w:rPr>
        <w:t xml:space="preserve">This is an issue that NFTC members face today, as described in the </w:t>
      </w:r>
      <w:r w:rsidR="004F513F">
        <w:rPr>
          <w:sz w:val="28"/>
          <w:szCs w:val="28"/>
        </w:rPr>
        <w:t>real-world examples set out above</w:t>
      </w:r>
      <w:r w:rsidR="00232717">
        <w:rPr>
          <w:sz w:val="28"/>
          <w:szCs w:val="28"/>
        </w:rPr>
        <w:t>.</w:t>
      </w:r>
    </w:p>
    <w:p w:rsidR="00C31076" w:rsidP="004D64FA" w14:paraId="71D7B906" w14:textId="0C15EC29">
      <w:pPr>
        <w:jc w:val="both"/>
        <w:rPr>
          <w:sz w:val="28"/>
          <w:szCs w:val="28"/>
        </w:rPr>
      </w:pPr>
      <w:r>
        <w:rPr>
          <w:sz w:val="28"/>
          <w:szCs w:val="28"/>
        </w:rPr>
        <w:tab/>
      </w:r>
      <w:r>
        <w:rPr>
          <w:i/>
          <w:iCs/>
          <w:sz w:val="28"/>
          <w:szCs w:val="28"/>
        </w:rPr>
        <w:t>Third</w:t>
      </w:r>
      <w:r>
        <w:rPr>
          <w:sz w:val="28"/>
          <w:szCs w:val="28"/>
        </w:rPr>
        <w:t>, TRW, Inc.</w:t>
      </w:r>
      <w:r w:rsidR="001038CB">
        <w:rPr>
          <w:sz w:val="28"/>
          <w:szCs w:val="28"/>
        </w:rPr>
        <w:t>’s</w:t>
      </w:r>
      <w:r>
        <w:rPr>
          <w:sz w:val="28"/>
          <w:szCs w:val="28"/>
        </w:rPr>
        <w:t xml:space="preserve"> comment</w:t>
      </w:r>
      <w:r w:rsidR="004D64FA">
        <w:rPr>
          <w:sz w:val="28"/>
          <w:szCs w:val="28"/>
        </w:rPr>
        <w:t xml:space="preserve"> </w:t>
      </w:r>
      <w:r w:rsidR="004F513F">
        <w:rPr>
          <w:sz w:val="28"/>
          <w:szCs w:val="28"/>
        </w:rPr>
        <w:t>likewise</w:t>
      </w:r>
      <w:r>
        <w:rPr>
          <w:sz w:val="28"/>
          <w:szCs w:val="28"/>
        </w:rPr>
        <w:t xml:space="preserve"> pointed to substantive issues with the proposed regulations</w:t>
      </w:r>
      <w:r w:rsidR="00F80460">
        <w:rPr>
          <w:sz w:val="28"/>
          <w:szCs w:val="28"/>
        </w:rPr>
        <w:t xml:space="preserve">, including </w:t>
      </w:r>
      <w:r>
        <w:rPr>
          <w:sz w:val="28"/>
          <w:szCs w:val="28"/>
        </w:rPr>
        <w:t xml:space="preserve">inconsistencies with both </w:t>
      </w:r>
      <w:r w:rsidR="00F80460">
        <w:rPr>
          <w:sz w:val="28"/>
          <w:szCs w:val="28"/>
        </w:rPr>
        <w:t xml:space="preserve">precedent from </w:t>
      </w:r>
      <w:r>
        <w:rPr>
          <w:sz w:val="28"/>
          <w:szCs w:val="28"/>
        </w:rPr>
        <w:t xml:space="preserve">the U.S. Supreme Court and the U.S. Court of Appeals for the Sixth Circuit. </w:t>
      </w:r>
      <w:r w:rsidR="00DB5DC4">
        <w:rPr>
          <w:sz w:val="28"/>
          <w:szCs w:val="28"/>
        </w:rPr>
        <w:t>(Stipulation, Ex. 42-J). Further</w:t>
      </w:r>
      <w:r>
        <w:rPr>
          <w:sz w:val="28"/>
          <w:szCs w:val="28"/>
        </w:rPr>
        <w:t xml:space="preserve">, TRW stated that it agreed that foreign governments should not impose restrictions on royalty payments, but disagreed that the agency was the proper forum for U.S. government actions to enforce </w:t>
      </w:r>
      <w:r w:rsidR="00F96E3E">
        <w:rPr>
          <w:sz w:val="28"/>
          <w:szCs w:val="28"/>
        </w:rPr>
        <w:t>such a</w:t>
      </w:r>
      <w:r>
        <w:rPr>
          <w:sz w:val="28"/>
          <w:szCs w:val="28"/>
        </w:rPr>
        <w:t xml:space="preserve"> policy. It noted that this was particularly true given the significant risk that it would create inconsistencies in U.S. Tax Policy and </w:t>
      </w:r>
      <w:r w:rsidR="00F96E3E">
        <w:rPr>
          <w:sz w:val="28"/>
          <w:szCs w:val="28"/>
        </w:rPr>
        <w:t>penalize</w:t>
      </w:r>
      <w:r>
        <w:rPr>
          <w:sz w:val="28"/>
          <w:szCs w:val="28"/>
        </w:rPr>
        <w:t xml:space="preserve"> companies wishing to compete in certain foreign markets.</w:t>
      </w:r>
    </w:p>
    <w:p w:rsidR="00B5168E" w:rsidP="004D64FA" w14:paraId="214DDC47" w14:textId="4011877C">
      <w:pPr>
        <w:jc w:val="both"/>
        <w:rPr>
          <w:sz w:val="28"/>
          <w:szCs w:val="28"/>
        </w:rPr>
      </w:pPr>
      <w:r>
        <w:rPr>
          <w:sz w:val="28"/>
          <w:szCs w:val="28"/>
        </w:rPr>
        <w:tab/>
        <w:t>TRW then went on to provide</w:t>
      </w:r>
      <w:r w:rsidRPr="004D64FA" w:rsidR="004D64FA">
        <w:rPr>
          <w:sz w:val="28"/>
          <w:szCs w:val="28"/>
        </w:rPr>
        <w:t xml:space="preserve"> specific changes</w:t>
      </w:r>
      <w:r w:rsidR="001038CB">
        <w:rPr>
          <w:sz w:val="28"/>
          <w:szCs w:val="28"/>
        </w:rPr>
        <w:t xml:space="preserve"> to the proposed regulation</w:t>
      </w:r>
      <w:r w:rsidRPr="004D64FA" w:rsidR="004D64FA">
        <w:rPr>
          <w:sz w:val="28"/>
          <w:szCs w:val="28"/>
        </w:rPr>
        <w:t>, including eliminating</w:t>
      </w:r>
      <w:r w:rsidR="001038CB">
        <w:rPr>
          <w:sz w:val="28"/>
          <w:szCs w:val="28"/>
        </w:rPr>
        <w:t xml:space="preserve"> the</w:t>
      </w:r>
      <w:r w:rsidRPr="004D64FA" w:rsidR="004D64FA">
        <w:rPr>
          <w:sz w:val="28"/>
          <w:szCs w:val="28"/>
        </w:rPr>
        <w:t xml:space="preserve"> requirement that foreign law also apply to uncontrolled transactions, and </w:t>
      </w:r>
      <w:r w:rsidR="001038CB">
        <w:rPr>
          <w:sz w:val="28"/>
          <w:szCs w:val="28"/>
        </w:rPr>
        <w:t xml:space="preserve">resolving the ambiguity </w:t>
      </w:r>
      <w:r w:rsidRPr="004D64FA" w:rsidR="004D64FA">
        <w:rPr>
          <w:sz w:val="28"/>
          <w:szCs w:val="28"/>
        </w:rPr>
        <w:t>that dividends do not constitute a method for circumventing foreign legal restriction</w:t>
      </w:r>
      <w:r w:rsidR="00AF5291">
        <w:rPr>
          <w:sz w:val="28"/>
          <w:szCs w:val="28"/>
        </w:rPr>
        <w:t>s</w:t>
      </w:r>
      <w:r w:rsidRPr="004D64FA" w:rsidR="004D64FA">
        <w:rPr>
          <w:sz w:val="28"/>
          <w:szCs w:val="28"/>
        </w:rPr>
        <w:t>.</w:t>
      </w:r>
      <w:r w:rsidR="001038CB">
        <w:rPr>
          <w:sz w:val="28"/>
          <w:szCs w:val="28"/>
        </w:rPr>
        <w:t xml:space="preserve"> </w:t>
      </w:r>
      <w:r w:rsidRPr="004D64FA" w:rsidR="004D64FA">
        <w:rPr>
          <w:sz w:val="28"/>
          <w:szCs w:val="28"/>
        </w:rPr>
        <w:t xml:space="preserve">Similarly, </w:t>
      </w:r>
      <w:r w:rsidR="001038CB">
        <w:rPr>
          <w:sz w:val="28"/>
          <w:szCs w:val="28"/>
        </w:rPr>
        <w:t xml:space="preserve">TRW, Inc. suggested that the </w:t>
      </w:r>
      <w:r w:rsidRPr="004D64FA" w:rsidR="004D64FA">
        <w:rPr>
          <w:sz w:val="28"/>
          <w:szCs w:val="28"/>
        </w:rPr>
        <w:t xml:space="preserve">foreign tax deductions or credits associated with dividends paid by a </w:t>
      </w:r>
      <w:r w:rsidR="001038CB">
        <w:rPr>
          <w:sz w:val="28"/>
          <w:szCs w:val="28"/>
        </w:rPr>
        <w:t>controlled foreign corporation</w:t>
      </w:r>
      <w:r w:rsidRPr="004D64FA" w:rsidR="004D64FA">
        <w:rPr>
          <w:sz w:val="28"/>
          <w:szCs w:val="28"/>
        </w:rPr>
        <w:t xml:space="preserve"> to its U</w:t>
      </w:r>
      <w:r w:rsidR="001038CB">
        <w:rPr>
          <w:sz w:val="28"/>
          <w:szCs w:val="28"/>
        </w:rPr>
        <w:t>.</w:t>
      </w:r>
      <w:r w:rsidRPr="004D64FA" w:rsidR="004D64FA">
        <w:rPr>
          <w:sz w:val="28"/>
          <w:szCs w:val="28"/>
        </w:rPr>
        <w:t>S</w:t>
      </w:r>
      <w:r w:rsidR="001038CB">
        <w:rPr>
          <w:sz w:val="28"/>
          <w:szCs w:val="28"/>
        </w:rPr>
        <w:t>.</w:t>
      </w:r>
      <w:r w:rsidRPr="004D64FA" w:rsidR="004D64FA">
        <w:rPr>
          <w:sz w:val="28"/>
          <w:szCs w:val="28"/>
        </w:rPr>
        <w:t xml:space="preserve"> parent</w:t>
      </w:r>
      <w:r w:rsidR="001038CB">
        <w:rPr>
          <w:sz w:val="28"/>
          <w:szCs w:val="28"/>
        </w:rPr>
        <w:t xml:space="preserve"> corporation</w:t>
      </w:r>
      <w:r w:rsidR="000E6DB1">
        <w:rPr>
          <w:sz w:val="28"/>
          <w:szCs w:val="28"/>
        </w:rPr>
        <w:t xml:space="preserve"> should be</w:t>
      </w:r>
      <w:r w:rsidRPr="004D64FA" w:rsidR="004D64FA">
        <w:rPr>
          <w:sz w:val="28"/>
          <w:szCs w:val="28"/>
        </w:rPr>
        <w:t xml:space="preserve"> immediately allowable to the U</w:t>
      </w:r>
      <w:r w:rsidR="000E6DB1">
        <w:rPr>
          <w:sz w:val="28"/>
          <w:szCs w:val="28"/>
        </w:rPr>
        <w:t>.</w:t>
      </w:r>
      <w:r w:rsidRPr="004D64FA" w:rsidR="004D64FA">
        <w:rPr>
          <w:sz w:val="28"/>
          <w:szCs w:val="28"/>
        </w:rPr>
        <w:t>S</w:t>
      </w:r>
      <w:r w:rsidR="000E6DB1">
        <w:rPr>
          <w:sz w:val="28"/>
          <w:szCs w:val="28"/>
        </w:rPr>
        <w:t>.</w:t>
      </w:r>
      <w:r w:rsidRPr="004D64FA" w:rsidR="004D64FA">
        <w:rPr>
          <w:sz w:val="28"/>
          <w:szCs w:val="28"/>
        </w:rPr>
        <w:t xml:space="preserve"> taxpayer.</w:t>
      </w:r>
    </w:p>
    <w:p w:rsidR="00B5168E" w:rsidP="004D64FA" w14:paraId="21A4164A" w14:textId="5E7D13D8">
      <w:pPr>
        <w:jc w:val="both"/>
        <w:rPr>
          <w:sz w:val="28"/>
          <w:szCs w:val="28"/>
        </w:rPr>
      </w:pPr>
      <w:r>
        <w:rPr>
          <w:i/>
          <w:iCs/>
          <w:sz w:val="28"/>
          <w:szCs w:val="28"/>
        </w:rPr>
        <w:tab/>
        <w:t>Fourth</w:t>
      </w:r>
      <w:r>
        <w:rPr>
          <w:sz w:val="28"/>
          <w:szCs w:val="28"/>
        </w:rPr>
        <w:t xml:space="preserve">, </w:t>
      </w:r>
      <w:r w:rsidR="00EE6957">
        <w:rPr>
          <w:sz w:val="28"/>
          <w:szCs w:val="28"/>
        </w:rPr>
        <w:t xml:space="preserve">the </w:t>
      </w:r>
      <w:r>
        <w:rPr>
          <w:sz w:val="28"/>
          <w:szCs w:val="28"/>
        </w:rPr>
        <w:t>U</w:t>
      </w:r>
      <w:r w:rsidR="00EE6957">
        <w:rPr>
          <w:sz w:val="28"/>
          <w:szCs w:val="28"/>
        </w:rPr>
        <w:t>nited States Council for International Business (“U</w:t>
      </w:r>
      <w:r>
        <w:rPr>
          <w:sz w:val="28"/>
          <w:szCs w:val="28"/>
        </w:rPr>
        <w:t>SCIB</w:t>
      </w:r>
      <w:r w:rsidR="00EE6957">
        <w:rPr>
          <w:sz w:val="28"/>
          <w:szCs w:val="28"/>
        </w:rPr>
        <w:t>”)</w:t>
      </w:r>
      <w:r>
        <w:rPr>
          <w:sz w:val="28"/>
          <w:szCs w:val="28"/>
        </w:rPr>
        <w:t xml:space="preserve"> commented </w:t>
      </w:r>
      <w:r w:rsidR="006A44D9">
        <w:rPr>
          <w:sz w:val="28"/>
          <w:szCs w:val="28"/>
        </w:rPr>
        <w:t xml:space="preserve">that the proposed </w:t>
      </w:r>
      <w:r w:rsidR="00215C2A">
        <w:rPr>
          <w:sz w:val="28"/>
          <w:szCs w:val="28"/>
        </w:rPr>
        <w:t xml:space="preserve">regulation “constitute[d] an obvious attempt by the IRS to override the unfavorable decision” from the </w:t>
      </w:r>
      <w:r w:rsidR="00215C2A">
        <w:rPr>
          <w:i/>
          <w:iCs/>
          <w:sz w:val="28"/>
          <w:szCs w:val="28"/>
        </w:rPr>
        <w:t xml:space="preserve">Procter &amp; Gamble </w:t>
      </w:r>
      <w:r w:rsidR="00215C2A">
        <w:rPr>
          <w:sz w:val="28"/>
          <w:szCs w:val="28"/>
        </w:rPr>
        <w:t>case</w:t>
      </w:r>
      <w:r w:rsidR="00835C44">
        <w:rPr>
          <w:sz w:val="28"/>
          <w:szCs w:val="28"/>
        </w:rPr>
        <w:t xml:space="preserve"> that undermined the long-standing judicial interpretations of </w:t>
      </w:r>
      <w:r w:rsidR="00960D18">
        <w:rPr>
          <w:sz w:val="28"/>
          <w:szCs w:val="28"/>
        </w:rPr>
        <w:t>S</w:t>
      </w:r>
      <w:r w:rsidR="00835C44">
        <w:rPr>
          <w:sz w:val="28"/>
          <w:szCs w:val="28"/>
        </w:rPr>
        <w:t>ection 482</w:t>
      </w:r>
      <w:r w:rsidR="00215C2A">
        <w:rPr>
          <w:sz w:val="28"/>
          <w:szCs w:val="28"/>
        </w:rPr>
        <w:t xml:space="preserve">. (Stipulation, Ex. 43-J). </w:t>
      </w:r>
      <w:r w:rsidR="00835C44">
        <w:rPr>
          <w:sz w:val="28"/>
          <w:szCs w:val="28"/>
        </w:rPr>
        <w:t xml:space="preserve">In addition to undermining well-settled case law, USCIB noted that the </w:t>
      </w:r>
      <w:r w:rsidR="004D64FA">
        <w:rPr>
          <w:sz w:val="28"/>
          <w:szCs w:val="28"/>
        </w:rPr>
        <w:t>c</w:t>
      </w:r>
      <w:r w:rsidRPr="004D64FA" w:rsidR="004D64FA">
        <w:rPr>
          <w:sz w:val="28"/>
          <w:szCs w:val="28"/>
        </w:rPr>
        <w:t xml:space="preserve">onditions </w:t>
      </w:r>
      <w:r w:rsidR="00835C44">
        <w:rPr>
          <w:sz w:val="28"/>
          <w:szCs w:val="28"/>
        </w:rPr>
        <w:t xml:space="preserve">to allow a taxpayer to </w:t>
      </w:r>
      <w:r w:rsidR="00CC1A86">
        <w:rPr>
          <w:sz w:val="28"/>
          <w:szCs w:val="28"/>
        </w:rPr>
        <w:t>elect income deferral under</w:t>
      </w:r>
      <w:r w:rsidR="00835C44">
        <w:rPr>
          <w:sz w:val="28"/>
          <w:szCs w:val="28"/>
        </w:rPr>
        <w:t xml:space="preserve"> the Blocked Income Rule were so restrictive that very few, if any, taxpayers could benefit from the exception. Finally, USCIB concluded that the IRS should not be allowed to “unilaterally make section 482</w:t>
      </w:r>
      <w:r w:rsidR="00D03D70">
        <w:rPr>
          <w:sz w:val="28"/>
          <w:szCs w:val="28"/>
        </w:rPr>
        <w:t xml:space="preserve"> applicable” to unrelated situations by contorting the plain language of the statute well beyond its intended scope.  </w:t>
      </w:r>
    </w:p>
    <w:p w:rsidR="005B1D3F" w:rsidRPr="00B5168E" w:rsidP="004D64FA" w14:paraId="08277B81" w14:textId="4CEE631C">
      <w:pPr>
        <w:jc w:val="both"/>
        <w:rPr>
          <w:sz w:val="28"/>
          <w:szCs w:val="28"/>
        </w:rPr>
      </w:pPr>
      <w:r>
        <w:rPr>
          <w:sz w:val="28"/>
          <w:szCs w:val="28"/>
        </w:rPr>
        <w:tab/>
      </w:r>
      <w:r w:rsidR="00CB724A">
        <w:rPr>
          <w:sz w:val="28"/>
          <w:szCs w:val="28"/>
        </w:rPr>
        <w:t xml:space="preserve">Even a cursory review of these comments shows that </w:t>
      </w:r>
      <w:r w:rsidR="00AF5291">
        <w:rPr>
          <w:sz w:val="28"/>
          <w:szCs w:val="28"/>
        </w:rPr>
        <w:t xml:space="preserve">they raised substantial issues warranting careful consideration—such that </w:t>
      </w:r>
      <w:r w:rsidR="00CB724A">
        <w:rPr>
          <w:sz w:val="28"/>
          <w:szCs w:val="28"/>
        </w:rPr>
        <w:t xml:space="preserve">the IRS’s </w:t>
      </w:r>
      <w:r w:rsidR="00AF5291">
        <w:rPr>
          <w:sz w:val="28"/>
          <w:szCs w:val="28"/>
        </w:rPr>
        <w:t xml:space="preserve">failure to give such comments </w:t>
      </w:r>
      <w:r w:rsidR="00AF5291">
        <w:rPr>
          <w:i/>
          <w:iCs/>
          <w:sz w:val="28"/>
          <w:szCs w:val="28"/>
        </w:rPr>
        <w:t xml:space="preserve">any </w:t>
      </w:r>
      <w:r w:rsidR="00AF5291">
        <w:rPr>
          <w:sz w:val="28"/>
          <w:szCs w:val="28"/>
        </w:rPr>
        <w:t xml:space="preserve">consideration renders the </w:t>
      </w:r>
      <w:r w:rsidR="00CB724A">
        <w:rPr>
          <w:sz w:val="28"/>
          <w:szCs w:val="28"/>
        </w:rPr>
        <w:t xml:space="preserve">Blocked Income Rule arbitrary and capricious. The IRS’s </w:t>
      </w:r>
      <w:r w:rsidR="001A2871">
        <w:rPr>
          <w:sz w:val="28"/>
          <w:szCs w:val="28"/>
        </w:rPr>
        <w:t>rule</w:t>
      </w:r>
      <w:r w:rsidR="00CB724A">
        <w:rPr>
          <w:sz w:val="28"/>
          <w:szCs w:val="28"/>
        </w:rPr>
        <w:t xml:space="preserve"> cannot be reasonable because it did not consider the practical effects on companies by implementing this regulation. </w:t>
      </w:r>
      <w:r w:rsidR="00CB724A">
        <w:rPr>
          <w:i/>
          <w:iCs/>
          <w:sz w:val="28"/>
          <w:szCs w:val="28"/>
        </w:rPr>
        <w:t>Citizens to Preserve Overton Park, Inc</w:t>
      </w:r>
      <w:r w:rsidR="00CB724A">
        <w:rPr>
          <w:sz w:val="28"/>
          <w:szCs w:val="28"/>
        </w:rPr>
        <w:t>, 401 U.S. at 416.</w:t>
      </w:r>
      <w:r w:rsidR="001A2871">
        <w:rPr>
          <w:sz w:val="28"/>
          <w:szCs w:val="28"/>
        </w:rPr>
        <w:t xml:space="preserve"> Instead, as these comments illustrated, the effects of the IRS’s Blocked Income Rule led to more uncertainty in the business community and created opportunities where certain companies are treated differently simply because of where they choose to expand their business globally. Further, similar to </w:t>
      </w:r>
      <w:r w:rsidR="006E0C41">
        <w:rPr>
          <w:i/>
          <w:iCs/>
          <w:sz w:val="28"/>
          <w:szCs w:val="28"/>
        </w:rPr>
        <w:t>Motor Vehicle Manufacturers Association</w:t>
      </w:r>
      <w:r w:rsidR="006E0C41">
        <w:rPr>
          <w:sz w:val="28"/>
          <w:szCs w:val="28"/>
        </w:rPr>
        <w:t xml:space="preserve"> where the agency failed to consider relevant alternative</w:t>
      </w:r>
      <w:r w:rsidR="008B605D">
        <w:rPr>
          <w:sz w:val="28"/>
          <w:szCs w:val="28"/>
        </w:rPr>
        <w:t>s and explain its reasoning in doing so</w:t>
      </w:r>
      <w:r w:rsidR="006E0C41">
        <w:rPr>
          <w:sz w:val="28"/>
          <w:szCs w:val="28"/>
        </w:rPr>
        <w:t xml:space="preserve">, the IRS here never explained why </w:t>
      </w:r>
      <w:r w:rsidR="001A2871">
        <w:rPr>
          <w:sz w:val="28"/>
          <w:szCs w:val="28"/>
        </w:rPr>
        <w:t>there could not be a different version of the rule that took practical realties into consideration.</w:t>
      </w:r>
      <w:r w:rsidR="006E0C41">
        <w:rPr>
          <w:sz w:val="28"/>
          <w:szCs w:val="28"/>
        </w:rPr>
        <w:t xml:space="preserve"> </w:t>
      </w:r>
      <w:bookmarkStart w:id="26" w:name="OLE_LINK26"/>
      <w:r w:rsidR="00CB724A">
        <w:rPr>
          <w:sz w:val="28"/>
          <w:szCs w:val="28"/>
        </w:rPr>
        <w:t xml:space="preserve">463 U.S. at </w:t>
      </w:r>
      <w:bookmarkEnd w:id="26"/>
      <w:r w:rsidR="001A2871">
        <w:rPr>
          <w:sz w:val="28"/>
          <w:szCs w:val="28"/>
        </w:rPr>
        <w:t>50–51</w:t>
      </w:r>
      <w:r w:rsidR="00CB724A">
        <w:rPr>
          <w:sz w:val="28"/>
          <w:szCs w:val="28"/>
        </w:rPr>
        <w:t xml:space="preserve">. </w:t>
      </w:r>
      <w:r w:rsidR="00CC1A86">
        <w:rPr>
          <w:sz w:val="28"/>
          <w:szCs w:val="28"/>
        </w:rPr>
        <w:t xml:space="preserve">Nor did the agency respond to comments that the election to defer income was virtually impossible to satisfy because of the stringent requirements. Had the IRS considered the arguments, the election could have been tailored to provide taxpayers with an option to delay the recognition of income, which </w:t>
      </w:r>
      <w:r w:rsidR="005A05C5">
        <w:rPr>
          <w:sz w:val="28"/>
          <w:szCs w:val="28"/>
        </w:rPr>
        <w:t xml:space="preserve">would have mitigated the </w:t>
      </w:r>
      <w:r w:rsidR="00E15239">
        <w:rPr>
          <w:sz w:val="28"/>
          <w:szCs w:val="28"/>
        </w:rPr>
        <w:t xml:space="preserve">extreme </w:t>
      </w:r>
      <w:r w:rsidR="005A05C5">
        <w:rPr>
          <w:sz w:val="28"/>
          <w:szCs w:val="28"/>
        </w:rPr>
        <w:t>result of the regulations. Instead, t</w:t>
      </w:r>
      <w:r w:rsidR="001A2871">
        <w:rPr>
          <w:sz w:val="28"/>
          <w:szCs w:val="28"/>
        </w:rPr>
        <w:t>he IRS simply ign</w:t>
      </w:r>
      <w:r w:rsidR="008B605D">
        <w:rPr>
          <w:sz w:val="28"/>
          <w:szCs w:val="28"/>
        </w:rPr>
        <w:t xml:space="preserve">ored significant comments that explained the practical repercussions that would ensue from the promulgation of the Blocked Income Rule. </w:t>
      </w:r>
      <w:r w:rsidR="008B605D">
        <w:rPr>
          <w:i/>
          <w:iCs/>
          <w:sz w:val="28"/>
          <w:szCs w:val="28"/>
        </w:rPr>
        <w:t>Hussian v. Madigan</w:t>
      </w:r>
      <w:r w:rsidR="008B605D">
        <w:rPr>
          <w:sz w:val="28"/>
          <w:szCs w:val="28"/>
        </w:rPr>
        <w:t>, 950 F.2d 1546, 1554 (11th Cir. 1992</w:t>
      </w:r>
      <w:r w:rsidR="002151DE">
        <w:rPr>
          <w:sz w:val="28"/>
          <w:szCs w:val="28"/>
        </w:rPr>
        <w:t>).</w:t>
      </w:r>
      <w:r w:rsidR="008B605D">
        <w:rPr>
          <w:sz w:val="28"/>
          <w:szCs w:val="28"/>
        </w:rPr>
        <w:t xml:space="preserve">  </w:t>
      </w:r>
    </w:p>
    <w:p w:rsidR="00D03D70" w:rsidRPr="00F61063" w:rsidP="00F61063" w14:paraId="5BAF7FD3" w14:textId="31507617">
      <w:pPr>
        <w:jc w:val="both"/>
        <w:rPr>
          <w:sz w:val="28"/>
          <w:szCs w:val="28"/>
        </w:rPr>
      </w:pPr>
      <w:r>
        <w:rPr>
          <w:sz w:val="28"/>
          <w:szCs w:val="28"/>
        </w:rPr>
        <w:tab/>
        <w:t xml:space="preserve">The IRS’s failure to consider relevant comments is not surprising, given that the agency </w:t>
      </w:r>
      <w:r w:rsidR="00271767">
        <w:rPr>
          <w:sz w:val="28"/>
          <w:szCs w:val="28"/>
        </w:rPr>
        <w:t>explicitly—and incorrectly</w:t>
      </w:r>
      <w:bookmarkStart w:id="27" w:name="OLE_LINK13"/>
      <w:r w:rsidR="00271767">
        <w:rPr>
          <w:sz w:val="28"/>
          <w:szCs w:val="28"/>
        </w:rPr>
        <w:t>—</w:t>
      </w:r>
      <w:bookmarkEnd w:id="27"/>
      <w:r w:rsidR="00271767">
        <w:rPr>
          <w:sz w:val="28"/>
          <w:szCs w:val="28"/>
        </w:rPr>
        <w:t xml:space="preserve">reasoned that the APA’s procedural requirements did not apply to </w:t>
      </w:r>
      <w:r w:rsidR="00F970B5">
        <w:rPr>
          <w:sz w:val="28"/>
          <w:szCs w:val="28"/>
        </w:rPr>
        <w:t>its promulgation of the Blocked Income Rule</w:t>
      </w:r>
      <w:r w:rsidR="00271767">
        <w:rPr>
          <w:sz w:val="28"/>
          <w:szCs w:val="28"/>
        </w:rPr>
        <w:t xml:space="preserve">. </w:t>
      </w:r>
      <w:r w:rsidR="00AF5291">
        <w:rPr>
          <w:sz w:val="28"/>
          <w:szCs w:val="28"/>
        </w:rPr>
        <w:t>The</w:t>
      </w:r>
      <w:r w:rsidR="00271767">
        <w:rPr>
          <w:sz w:val="28"/>
          <w:szCs w:val="28"/>
        </w:rPr>
        <w:t xml:space="preserve"> IRS stated that “[i]t also has been determined that section 553(b) of the Administrative Procedure Act . . . do[es] not apply to these regulations.” 59 Fed. Reg. 34,971-01(1994).</w:t>
      </w:r>
      <w:r w:rsidR="0039117D">
        <w:rPr>
          <w:sz w:val="28"/>
          <w:szCs w:val="28"/>
        </w:rPr>
        <w:t xml:space="preserve"> </w:t>
      </w:r>
      <w:r w:rsidR="00AF5291">
        <w:rPr>
          <w:sz w:val="28"/>
          <w:szCs w:val="28"/>
        </w:rPr>
        <w:t>If the IRS had recognized that</w:t>
      </w:r>
      <w:r w:rsidR="00F970B5">
        <w:rPr>
          <w:sz w:val="28"/>
          <w:szCs w:val="28"/>
        </w:rPr>
        <w:t xml:space="preserve"> </w:t>
      </w:r>
      <w:r w:rsidR="005815D6">
        <w:rPr>
          <w:sz w:val="28"/>
          <w:szCs w:val="28"/>
        </w:rPr>
        <w:t>it</w:t>
      </w:r>
      <w:r w:rsidR="00AF5291">
        <w:rPr>
          <w:sz w:val="28"/>
          <w:szCs w:val="28"/>
        </w:rPr>
        <w:t>, like every other agency</w:t>
      </w:r>
      <w:r w:rsidR="005815D6">
        <w:rPr>
          <w:sz w:val="28"/>
          <w:szCs w:val="28"/>
        </w:rPr>
        <w:t xml:space="preserve"> subject to the APA</w:t>
      </w:r>
      <w:r w:rsidR="00AF5291">
        <w:rPr>
          <w:sz w:val="28"/>
          <w:szCs w:val="28"/>
        </w:rPr>
        <w:t>, was duty</w:t>
      </w:r>
      <w:r w:rsidR="005815D6">
        <w:rPr>
          <w:sz w:val="28"/>
          <w:szCs w:val="28"/>
        </w:rPr>
        <w:t>-</w:t>
      </w:r>
      <w:r w:rsidR="00AF5291">
        <w:rPr>
          <w:sz w:val="28"/>
          <w:szCs w:val="28"/>
        </w:rPr>
        <w:t>bo</w:t>
      </w:r>
      <w:r w:rsidR="005815D6">
        <w:rPr>
          <w:sz w:val="28"/>
          <w:szCs w:val="28"/>
        </w:rPr>
        <w:t>u</w:t>
      </w:r>
      <w:r w:rsidR="00AF5291">
        <w:rPr>
          <w:sz w:val="28"/>
          <w:szCs w:val="28"/>
        </w:rPr>
        <w:t>nd</w:t>
      </w:r>
      <w:r w:rsidR="00D62652">
        <w:rPr>
          <w:sz w:val="28"/>
          <w:szCs w:val="28"/>
        </w:rPr>
        <w:t xml:space="preserve"> to properly consider and respond to sign</w:t>
      </w:r>
      <w:r w:rsidR="005815D6">
        <w:rPr>
          <w:sz w:val="28"/>
          <w:szCs w:val="28"/>
        </w:rPr>
        <w:t>i</w:t>
      </w:r>
      <w:r w:rsidR="00D62652">
        <w:rPr>
          <w:sz w:val="28"/>
          <w:szCs w:val="28"/>
        </w:rPr>
        <w:t xml:space="preserve">ficant comments, it might well have avoided or mitigated the substantial problems infecting the Blocked Income Rule. Instead, the agency simply ignored those comments. </w:t>
      </w:r>
      <w:r w:rsidR="0039117D">
        <w:rPr>
          <w:sz w:val="28"/>
          <w:szCs w:val="28"/>
        </w:rPr>
        <w:t xml:space="preserve">This procedural failure alone </w:t>
      </w:r>
      <w:r w:rsidR="005815D6">
        <w:rPr>
          <w:sz w:val="28"/>
          <w:szCs w:val="28"/>
        </w:rPr>
        <w:t>requires</w:t>
      </w:r>
      <w:r w:rsidR="0039117D">
        <w:rPr>
          <w:sz w:val="28"/>
          <w:szCs w:val="28"/>
        </w:rPr>
        <w:t xml:space="preserve"> revers</w:t>
      </w:r>
      <w:r w:rsidR="005815D6">
        <w:rPr>
          <w:sz w:val="28"/>
          <w:szCs w:val="28"/>
        </w:rPr>
        <w:t>al of</w:t>
      </w:r>
      <w:r w:rsidR="0039117D">
        <w:rPr>
          <w:sz w:val="28"/>
          <w:szCs w:val="28"/>
        </w:rPr>
        <w:t xml:space="preserve"> the Tax Court’s decision upholding the agency’s rule. </w:t>
      </w:r>
      <w:r w:rsidR="000C27E5">
        <w:rPr>
          <w:i/>
          <w:iCs/>
          <w:sz w:val="28"/>
          <w:szCs w:val="28"/>
        </w:rPr>
        <w:t>See, e.g., Hussian</w:t>
      </w:r>
      <w:r w:rsidR="000C27E5">
        <w:rPr>
          <w:sz w:val="28"/>
          <w:szCs w:val="28"/>
        </w:rPr>
        <w:t xml:space="preserve">, 950 F.2d at 1554.  </w:t>
      </w:r>
      <w:r w:rsidR="00EE7922">
        <w:rPr>
          <w:sz w:val="28"/>
          <w:szCs w:val="28"/>
        </w:rPr>
        <w:t xml:space="preserve">  </w:t>
      </w:r>
      <w:r>
        <w:rPr>
          <w:sz w:val="28"/>
          <w:szCs w:val="28"/>
        </w:rPr>
        <w:t xml:space="preserve"> </w:t>
      </w:r>
    </w:p>
    <w:p w:rsidR="006C6FE8" w:rsidP="00D03D70" w14:paraId="3FB1C05B" w14:textId="260897F8">
      <w:pPr>
        <w:pStyle w:val="Heading1"/>
        <w:keepNext/>
      </w:pPr>
      <w:bookmarkStart w:id="28" w:name="_Toc158823204"/>
      <w:r>
        <w:t>CONCLUSION</w:t>
      </w:r>
      <w:bookmarkEnd w:id="28"/>
    </w:p>
    <w:p w:rsidR="006C6FE8" w:rsidP="006C6FE8" w14:paraId="22281329" w14:textId="67E9EA3C">
      <w:pPr>
        <w:jc w:val="both"/>
        <w:rPr>
          <w:sz w:val="28"/>
          <w:szCs w:val="28"/>
        </w:rPr>
      </w:pPr>
      <w:r>
        <w:rPr>
          <w:sz w:val="28"/>
          <w:szCs w:val="28"/>
        </w:rPr>
        <w:tab/>
      </w:r>
      <w:r w:rsidR="00D62652">
        <w:rPr>
          <w:sz w:val="28"/>
          <w:szCs w:val="28"/>
        </w:rPr>
        <w:t>For</w:t>
      </w:r>
      <w:r w:rsidR="009D7EB2">
        <w:rPr>
          <w:sz w:val="28"/>
          <w:szCs w:val="28"/>
        </w:rPr>
        <w:t xml:space="preserve"> the foregoing reasons, this Court should reverse the Tax Court’s decision.</w:t>
      </w:r>
      <w:r w:rsidR="00D03D70">
        <w:rPr>
          <w:sz w:val="28"/>
          <w:szCs w:val="28"/>
        </w:rPr>
        <w:t xml:space="preserve"> </w:t>
      </w:r>
    </w:p>
    <w:p w:rsidR="00391AA9" w:rsidP="00391AA9" w14:paraId="13CBE8B3" w14:textId="3ACA2DB6">
      <w:pPr>
        <w:ind w:left="5040"/>
        <w:jc w:val="both"/>
        <w:rPr>
          <w:sz w:val="28"/>
          <w:szCs w:val="28"/>
        </w:rPr>
      </w:pPr>
      <w:r>
        <w:rPr>
          <w:sz w:val="28"/>
          <w:szCs w:val="28"/>
        </w:rPr>
        <w:t>Respectfully Submitted,</w:t>
      </w:r>
    </w:p>
    <w:p w:rsidR="00F077E9" w:rsidRPr="00F077E9" w:rsidP="00892EF5" w14:paraId="31257FB9" w14:textId="2356C543">
      <w:pPr>
        <w:widowControl w:val="0"/>
        <w:spacing w:line="240" w:lineRule="auto"/>
        <w:ind w:left="5040"/>
        <w:outlineLvl w:val="9"/>
        <w:rPr>
          <w:i/>
          <w:iCs/>
          <w:sz w:val="28"/>
          <w:szCs w:val="28"/>
          <w:u w:val="single"/>
        </w:rPr>
      </w:pPr>
      <w:r>
        <w:rPr>
          <w:i/>
          <w:iCs/>
          <w:sz w:val="28"/>
          <w:szCs w:val="28"/>
          <w:u w:val="single"/>
        </w:rPr>
        <w:t>/s/</w:t>
      </w:r>
      <w:r w:rsidR="003C0EC8">
        <w:rPr>
          <w:i/>
          <w:iCs/>
          <w:sz w:val="28"/>
          <w:szCs w:val="28"/>
          <w:u w:val="single"/>
        </w:rPr>
        <w:t>Amit Agarwal</w:t>
      </w:r>
    </w:p>
    <w:p w:rsidR="00892EF5" w:rsidRPr="00B3540D" w:rsidP="00892EF5" w14:paraId="798C200D" w14:textId="439473A6">
      <w:pPr>
        <w:widowControl w:val="0"/>
        <w:spacing w:line="240" w:lineRule="auto"/>
        <w:ind w:left="5040"/>
        <w:outlineLvl w:val="9"/>
        <w:rPr>
          <w:rFonts w:eastAsia="Times New Roman"/>
          <w:bCs/>
          <w:iCs/>
          <w:sz w:val="28"/>
          <w:szCs w:val="28"/>
        </w:rPr>
      </w:pPr>
      <w:r w:rsidRPr="00B3540D">
        <w:rPr>
          <w:rFonts w:eastAsia="Times New Roman"/>
          <w:bCs/>
          <w:iCs/>
          <w:sz w:val="28"/>
          <w:szCs w:val="28"/>
        </w:rPr>
        <w:t>Amit Agarwal</w:t>
      </w:r>
    </w:p>
    <w:p w:rsidR="00892EF5" w:rsidRPr="00510ACA" w:rsidP="00892EF5" w14:paraId="0FB6854B" w14:textId="77777777">
      <w:pPr>
        <w:widowControl w:val="0"/>
        <w:spacing w:line="240" w:lineRule="auto"/>
        <w:ind w:left="5040"/>
        <w:outlineLvl w:val="9"/>
        <w:rPr>
          <w:rFonts w:eastAsia="Times New Roman"/>
          <w:bCs/>
          <w:sz w:val="28"/>
          <w:szCs w:val="28"/>
        </w:rPr>
      </w:pPr>
      <w:r>
        <w:rPr>
          <w:rFonts w:eastAsia="Times New Roman"/>
          <w:bCs/>
          <w:sz w:val="28"/>
          <w:szCs w:val="28"/>
        </w:rPr>
        <w:t>Holland &amp; Knight LLP</w:t>
      </w:r>
    </w:p>
    <w:p w:rsidR="00892EF5" w:rsidRPr="00B3540D" w:rsidP="00892EF5" w14:paraId="68243761" w14:textId="77777777">
      <w:pPr>
        <w:widowControl w:val="0"/>
        <w:spacing w:line="240" w:lineRule="auto"/>
        <w:ind w:left="5040"/>
        <w:outlineLvl w:val="9"/>
        <w:rPr>
          <w:rFonts w:eastAsia="Times New Roman"/>
          <w:bCs/>
          <w:sz w:val="28"/>
          <w:szCs w:val="28"/>
        </w:rPr>
      </w:pPr>
      <w:r w:rsidRPr="00B3540D">
        <w:rPr>
          <w:rFonts w:eastAsia="Times New Roman"/>
          <w:bCs/>
          <w:sz w:val="28"/>
          <w:szCs w:val="28"/>
        </w:rPr>
        <w:t>315 South Calhoun</w:t>
      </w:r>
      <w:r>
        <w:rPr>
          <w:rFonts w:eastAsia="Times New Roman"/>
          <w:bCs/>
          <w:sz w:val="28"/>
          <w:szCs w:val="28"/>
        </w:rPr>
        <w:t xml:space="preserve"> S</w:t>
      </w:r>
      <w:r w:rsidRPr="00B3540D">
        <w:rPr>
          <w:rFonts w:eastAsia="Times New Roman"/>
          <w:bCs/>
          <w:sz w:val="28"/>
          <w:szCs w:val="28"/>
        </w:rPr>
        <w:t>t,</w:t>
      </w:r>
      <w:r>
        <w:rPr>
          <w:rFonts w:eastAsia="Times New Roman"/>
          <w:bCs/>
          <w:sz w:val="28"/>
          <w:szCs w:val="28"/>
        </w:rPr>
        <w:t xml:space="preserve"> </w:t>
      </w:r>
      <w:r w:rsidRPr="00B3540D">
        <w:rPr>
          <w:rFonts w:eastAsia="Times New Roman"/>
          <w:bCs/>
          <w:sz w:val="28"/>
          <w:szCs w:val="28"/>
        </w:rPr>
        <w:t>Suite 600</w:t>
      </w:r>
    </w:p>
    <w:p w:rsidR="00892EF5" w:rsidRPr="00510ACA" w:rsidP="00892EF5" w14:paraId="506D79BA" w14:textId="77777777">
      <w:pPr>
        <w:widowControl w:val="0"/>
        <w:spacing w:line="240" w:lineRule="auto"/>
        <w:ind w:left="5040"/>
        <w:outlineLvl w:val="9"/>
        <w:rPr>
          <w:rFonts w:eastAsia="Times New Roman"/>
          <w:bCs/>
          <w:sz w:val="28"/>
          <w:szCs w:val="28"/>
        </w:rPr>
      </w:pPr>
      <w:r w:rsidRPr="00B3540D">
        <w:rPr>
          <w:rFonts w:eastAsia="Times New Roman"/>
          <w:bCs/>
          <w:sz w:val="28"/>
          <w:szCs w:val="28"/>
        </w:rPr>
        <w:t>Tallahassee, F</w:t>
      </w:r>
      <w:r>
        <w:rPr>
          <w:rFonts w:eastAsia="Times New Roman"/>
          <w:bCs/>
          <w:sz w:val="28"/>
          <w:szCs w:val="28"/>
        </w:rPr>
        <w:t xml:space="preserve">L </w:t>
      </w:r>
      <w:r w:rsidRPr="00B3540D">
        <w:rPr>
          <w:rFonts w:eastAsia="Times New Roman"/>
          <w:bCs/>
          <w:sz w:val="28"/>
          <w:szCs w:val="28"/>
        </w:rPr>
        <w:t>32301</w:t>
      </w:r>
    </w:p>
    <w:p w:rsidR="00892EF5" w:rsidRPr="00510ACA" w:rsidP="00892EF5" w14:paraId="12E3A738" w14:textId="77777777">
      <w:pPr>
        <w:widowControl w:val="0"/>
        <w:spacing w:line="240" w:lineRule="auto"/>
        <w:ind w:left="5040"/>
        <w:outlineLvl w:val="9"/>
        <w:rPr>
          <w:rFonts w:eastAsia="Times New Roman"/>
          <w:bCs/>
          <w:sz w:val="28"/>
          <w:szCs w:val="28"/>
        </w:rPr>
      </w:pPr>
      <w:r w:rsidRPr="00510ACA">
        <w:rPr>
          <w:rFonts w:eastAsia="Times New Roman"/>
          <w:bCs/>
          <w:sz w:val="28"/>
          <w:szCs w:val="28"/>
        </w:rPr>
        <w:t>Tel.: (</w:t>
      </w:r>
      <w:r w:rsidRPr="00B3540D">
        <w:rPr>
          <w:rFonts w:eastAsia="Times New Roman"/>
          <w:bCs/>
          <w:sz w:val="28"/>
          <w:szCs w:val="28"/>
        </w:rPr>
        <w:t>850) 425-5611</w:t>
      </w:r>
    </w:p>
    <w:p w:rsidR="00892EF5" w:rsidRPr="00621CA2" w:rsidP="00892EF5" w14:paraId="4292D03B" w14:textId="77777777">
      <w:pPr>
        <w:widowControl w:val="0"/>
        <w:spacing w:line="240" w:lineRule="auto"/>
        <w:ind w:left="5040"/>
        <w:outlineLvl w:val="9"/>
        <w:rPr>
          <w:rFonts w:eastAsia="Times New Roman"/>
          <w:bCs/>
          <w:sz w:val="20"/>
          <w:szCs w:val="20"/>
        </w:rPr>
      </w:pPr>
    </w:p>
    <w:p w:rsidR="00892EF5" w:rsidP="00892EF5" w14:paraId="154B4CD1" w14:textId="77777777">
      <w:pPr>
        <w:widowControl w:val="0"/>
        <w:spacing w:line="240" w:lineRule="auto"/>
        <w:ind w:left="5040"/>
        <w:outlineLvl w:val="9"/>
        <w:rPr>
          <w:rFonts w:eastAsia="Times New Roman"/>
          <w:bCs/>
          <w:sz w:val="28"/>
          <w:szCs w:val="28"/>
        </w:rPr>
      </w:pPr>
      <w:r>
        <w:rPr>
          <w:rFonts w:eastAsia="Times New Roman"/>
          <w:bCs/>
          <w:iCs/>
          <w:sz w:val="28"/>
          <w:szCs w:val="28"/>
        </w:rPr>
        <w:t>Avery A. Holloman</w:t>
      </w:r>
    </w:p>
    <w:p w:rsidR="00892EF5" w:rsidRPr="004A0824" w:rsidP="00892EF5" w14:paraId="04CE9830" w14:textId="77777777">
      <w:pPr>
        <w:widowControl w:val="0"/>
        <w:spacing w:line="240" w:lineRule="auto"/>
        <w:ind w:left="5040"/>
        <w:outlineLvl w:val="9"/>
        <w:rPr>
          <w:rFonts w:eastAsia="Times New Roman"/>
          <w:bCs/>
          <w:iCs/>
          <w:sz w:val="28"/>
          <w:szCs w:val="28"/>
        </w:rPr>
      </w:pPr>
      <w:r w:rsidRPr="004A0824">
        <w:rPr>
          <w:rFonts w:eastAsia="Times New Roman"/>
          <w:bCs/>
          <w:iCs/>
          <w:sz w:val="28"/>
          <w:szCs w:val="28"/>
        </w:rPr>
        <w:t>Holland &amp; Knight LLP</w:t>
      </w:r>
    </w:p>
    <w:p w:rsidR="00892EF5" w:rsidP="00892EF5" w14:paraId="04B12E00" w14:textId="77777777">
      <w:pPr>
        <w:widowControl w:val="0"/>
        <w:spacing w:line="240" w:lineRule="auto"/>
        <w:ind w:left="5040"/>
        <w:outlineLvl w:val="9"/>
        <w:rPr>
          <w:rFonts w:eastAsia="Times New Roman"/>
          <w:bCs/>
          <w:iCs/>
          <w:sz w:val="28"/>
          <w:szCs w:val="28"/>
        </w:rPr>
      </w:pPr>
      <w:r>
        <w:rPr>
          <w:rFonts w:eastAsia="Times New Roman"/>
          <w:bCs/>
          <w:iCs/>
          <w:sz w:val="28"/>
          <w:szCs w:val="28"/>
        </w:rPr>
        <w:t>100 N. Tampa St., Suite 4100</w:t>
      </w:r>
    </w:p>
    <w:p w:rsidR="00892EF5" w:rsidP="00892EF5" w14:paraId="1C3E7132" w14:textId="77777777">
      <w:pPr>
        <w:widowControl w:val="0"/>
        <w:spacing w:line="240" w:lineRule="auto"/>
        <w:ind w:left="5040"/>
        <w:outlineLvl w:val="9"/>
        <w:rPr>
          <w:rFonts w:eastAsia="Times New Roman"/>
          <w:bCs/>
          <w:iCs/>
          <w:sz w:val="28"/>
          <w:szCs w:val="28"/>
        </w:rPr>
      </w:pPr>
      <w:r>
        <w:rPr>
          <w:rFonts w:eastAsia="Times New Roman"/>
          <w:bCs/>
          <w:iCs/>
          <w:sz w:val="28"/>
          <w:szCs w:val="28"/>
        </w:rPr>
        <w:t>Tampa, FL 33602</w:t>
      </w:r>
    </w:p>
    <w:p w:rsidR="00892EF5" w:rsidP="00892EF5" w14:paraId="53CCF97D" w14:textId="515602F2">
      <w:pPr>
        <w:ind w:left="5040"/>
        <w:jc w:val="both"/>
        <w:rPr>
          <w:rFonts w:eastAsia="Times New Roman"/>
          <w:bCs/>
          <w:iCs/>
          <w:sz w:val="28"/>
          <w:szCs w:val="28"/>
        </w:rPr>
      </w:pPr>
      <w:r>
        <w:rPr>
          <w:rFonts w:eastAsia="Times New Roman"/>
          <w:bCs/>
          <w:iCs/>
          <w:sz w:val="28"/>
          <w:szCs w:val="28"/>
        </w:rPr>
        <w:t>Tel: (813) 227-6614</w:t>
      </w:r>
    </w:p>
    <w:p w:rsidR="00892EF5" w:rsidP="00892EF5" w14:paraId="236A3518" w14:textId="77777777">
      <w:pPr>
        <w:widowControl w:val="0"/>
        <w:spacing w:line="240" w:lineRule="auto"/>
        <w:ind w:left="5130"/>
        <w:outlineLvl w:val="9"/>
        <w:rPr>
          <w:rFonts w:eastAsia="Times New Roman"/>
          <w:bCs/>
          <w:iCs/>
          <w:sz w:val="28"/>
          <w:szCs w:val="28"/>
        </w:rPr>
      </w:pPr>
      <w:r>
        <w:rPr>
          <w:rFonts w:eastAsia="Times New Roman"/>
          <w:bCs/>
          <w:iCs/>
          <w:sz w:val="28"/>
          <w:szCs w:val="28"/>
        </w:rPr>
        <w:t>Charles E. Borden</w:t>
      </w:r>
    </w:p>
    <w:p w:rsidR="00892EF5" w:rsidP="00892EF5" w14:paraId="3C839A62" w14:textId="77777777">
      <w:pPr>
        <w:widowControl w:val="0"/>
        <w:spacing w:line="240" w:lineRule="auto"/>
        <w:ind w:left="5130"/>
        <w:outlineLvl w:val="9"/>
        <w:rPr>
          <w:rFonts w:eastAsia="Times New Roman"/>
          <w:bCs/>
          <w:sz w:val="28"/>
          <w:szCs w:val="28"/>
        </w:rPr>
      </w:pPr>
      <w:r>
        <w:rPr>
          <w:rFonts w:eastAsia="Times New Roman"/>
          <w:bCs/>
          <w:sz w:val="28"/>
          <w:szCs w:val="28"/>
        </w:rPr>
        <w:t>Joshua D. Odintz</w:t>
      </w:r>
    </w:p>
    <w:p w:rsidR="00892EF5" w:rsidRPr="004A0824" w:rsidP="00892EF5" w14:paraId="1FC67214" w14:textId="77777777">
      <w:pPr>
        <w:widowControl w:val="0"/>
        <w:spacing w:line="240" w:lineRule="auto"/>
        <w:ind w:left="5130"/>
        <w:outlineLvl w:val="9"/>
        <w:rPr>
          <w:rFonts w:eastAsia="Times New Roman"/>
          <w:bCs/>
          <w:iCs/>
          <w:sz w:val="28"/>
          <w:szCs w:val="28"/>
        </w:rPr>
      </w:pPr>
      <w:r w:rsidRPr="004A0824">
        <w:rPr>
          <w:rFonts w:eastAsia="Times New Roman"/>
          <w:bCs/>
          <w:iCs/>
          <w:sz w:val="28"/>
          <w:szCs w:val="28"/>
        </w:rPr>
        <w:t>Holland &amp; Knight LLP</w:t>
      </w:r>
    </w:p>
    <w:p w:rsidR="00892EF5" w:rsidP="00892EF5" w14:paraId="1B131FE4" w14:textId="77777777">
      <w:pPr>
        <w:widowControl w:val="0"/>
        <w:spacing w:line="240" w:lineRule="auto"/>
        <w:ind w:left="5130"/>
        <w:outlineLvl w:val="9"/>
        <w:rPr>
          <w:rFonts w:eastAsia="Times New Roman"/>
          <w:bCs/>
          <w:iCs/>
          <w:sz w:val="28"/>
          <w:szCs w:val="28"/>
        </w:rPr>
      </w:pPr>
      <w:r>
        <w:rPr>
          <w:rFonts w:eastAsia="Times New Roman"/>
          <w:bCs/>
          <w:iCs/>
          <w:sz w:val="28"/>
          <w:szCs w:val="28"/>
        </w:rPr>
        <w:t>800 17th Street N.W., Suite 1100</w:t>
      </w:r>
    </w:p>
    <w:p w:rsidR="00892EF5" w:rsidP="00892EF5" w14:paraId="47BB3143" w14:textId="77777777">
      <w:pPr>
        <w:widowControl w:val="0"/>
        <w:spacing w:line="240" w:lineRule="auto"/>
        <w:ind w:left="5130"/>
        <w:outlineLvl w:val="9"/>
        <w:rPr>
          <w:rFonts w:eastAsia="Times New Roman"/>
          <w:bCs/>
          <w:iCs/>
          <w:sz w:val="28"/>
          <w:szCs w:val="28"/>
        </w:rPr>
      </w:pPr>
      <w:r>
        <w:rPr>
          <w:rFonts w:eastAsia="Times New Roman"/>
          <w:bCs/>
          <w:iCs/>
          <w:sz w:val="28"/>
          <w:szCs w:val="28"/>
        </w:rPr>
        <w:t>Washington, D.C. 20006</w:t>
      </w:r>
    </w:p>
    <w:p w:rsidR="00892EF5" w:rsidP="00892EF5" w14:paraId="735DC375" w14:textId="77777777">
      <w:pPr>
        <w:widowControl w:val="0"/>
        <w:spacing w:line="240" w:lineRule="auto"/>
        <w:ind w:left="5130"/>
        <w:outlineLvl w:val="9"/>
        <w:rPr>
          <w:rFonts w:eastAsia="Times New Roman"/>
          <w:bCs/>
          <w:iCs/>
          <w:sz w:val="28"/>
          <w:szCs w:val="28"/>
        </w:rPr>
      </w:pPr>
      <w:r>
        <w:rPr>
          <w:rFonts w:eastAsia="Times New Roman"/>
          <w:bCs/>
          <w:iCs/>
          <w:sz w:val="28"/>
          <w:szCs w:val="28"/>
        </w:rPr>
        <w:t>Tel: (202) 469-5207</w:t>
      </w:r>
    </w:p>
    <w:p w:rsidR="00892EF5" w:rsidP="00892EF5" w14:paraId="6F2063D3" w14:textId="77777777">
      <w:pPr>
        <w:spacing w:line="240" w:lineRule="auto"/>
        <w:ind w:left="5130"/>
        <w:outlineLvl w:val="9"/>
        <w:rPr>
          <w:rFonts w:eastAsia="Times New Roman"/>
          <w:bCs/>
          <w:sz w:val="28"/>
          <w:szCs w:val="28"/>
        </w:rPr>
      </w:pPr>
    </w:p>
    <w:p w:rsidR="00892EF5" w:rsidP="00892EF5" w14:paraId="48A28D76" w14:textId="77777777">
      <w:pPr>
        <w:spacing w:line="240" w:lineRule="auto"/>
        <w:ind w:left="5130"/>
        <w:outlineLvl w:val="9"/>
        <w:rPr>
          <w:rFonts w:eastAsia="Times New Roman"/>
          <w:bCs/>
          <w:sz w:val="28"/>
          <w:szCs w:val="28"/>
        </w:rPr>
      </w:pPr>
      <w:r>
        <w:rPr>
          <w:rFonts w:eastAsia="Times New Roman"/>
          <w:bCs/>
          <w:sz w:val="28"/>
          <w:szCs w:val="28"/>
        </w:rPr>
        <w:t xml:space="preserve">Anne Gordon </w:t>
      </w:r>
    </w:p>
    <w:p w:rsidR="00892EF5" w:rsidP="00892EF5" w14:paraId="1F19D2CB" w14:textId="77777777">
      <w:pPr>
        <w:spacing w:line="240" w:lineRule="auto"/>
        <w:ind w:left="5130"/>
        <w:outlineLvl w:val="9"/>
        <w:rPr>
          <w:rFonts w:eastAsia="Times New Roman"/>
          <w:bCs/>
          <w:sz w:val="28"/>
          <w:szCs w:val="28"/>
        </w:rPr>
      </w:pPr>
      <w:r>
        <w:rPr>
          <w:rFonts w:eastAsia="Times New Roman"/>
          <w:bCs/>
          <w:sz w:val="28"/>
          <w:szCs w:val="28"/>
        </w:rPr>
        <w:t>National Trade Foreign Trade Council, Inc.</w:t>
      </w:r>
    </w:p>
    <w:p w:rsidR="00892EF5" w:rsidP="00892EF5" w14:paraId="3CB870F1" w14:textId="77777777">
      <w:pPr>
        <w:spacing w:line="240" w:lineRule="auto"/>
        <w:ind w:left="5130"/>
        <w:outlineLvl w:val="9"/>
        <w:rPr>
          <w:rFonts w:eastAsia="Times New Roman"/>
          <w:bCs/>
          <w:sz w:val="28"/>
          <w:szCs w:val="28"/>
        </w:rPr>
      </w:pPr>
      <w:r>
        <w:rPr>
          <w:rFonts w:eastAsia="Times New Roman"/>
          <w:bCs/>
          <w:sz w:val="28"/>
          <w:szCs w:val="28"/>
        </w:rPr>
        <w:t>1225 New York Ave., NW</w:t>
      </w:r>
    </w:p>
    <w:p w:rsidR="00892EF5" w:rsidP="00892EF5" w14:paraId="0AD19410" w14:textId="77777777">
      <w:pPr>
        <w:spacing w:line="240" w:lineRule="auto"/>
        <w:ind w:left="5130"/>
        <w:outlineLvl w:val="9"/>
        <w:rPr>
          <w:rFonts w:eastAsia="Times New Roman"/>
          <w:bCs/>
          <w:sz w:val="28"/>
          <w:szCs w:val="28"/>
        </w:rPr>
      </w:pPr>
      <w:r>
        <w:rPr>
          <w:rFonts w:eastAsia="Times New Roman"/>
          <w:bCs/>
          <w:sz w:val="28"/>
          <w:szCs w:val="28"/>
        </w:rPr>
        <w:t>Suite 650B</w:t>
      </w:r>
    </w:p>
    <w:p w:rsidR="00892EF5" w:rsidP="00892EF5" w14:paraId="2529DA5E" w14:textId="77777777">
      <w:pPr>
        <w:spacing w:line="240" w:lineRule="auto"/>
        <w:ind w:left="5130"/>
        <w:outlineLvl w:val="9"/>
        <w:rPr>
          <w:rFonts w:eastAsia="Times New Roman"/>
          <w:bCs/>
          <w:sz w:val="28"/>
          <w:szCs w:val="28"/>
        </w:rPr>
      </w:pPr>
      <w:r>
        <w:rPr>
          <w:rFonts w:eastAsia="Times New Roman"/>
          <w:bCs/>
          <w:sz w:val="28"/>
          <w:szCs w:val="28"/>
        </w:rPr>
        <w:t>Washington, DC 20005</w:t>
      </w:r>
    </w:p>
    <w:p w:rsidR="00892EF5" w:rsidP="00892EF5" w14:paraId="6BBBEC6E" w14:textId="469C0F6A">
      <w:pPr>
        <w:ind w:left="5130"/>
        <w:jc w:val="both"/>
        <w:rPr>
          <w:rFonts w:eastAsia="Times New Roman"/>
          <w:bCs/>
          <w:sz w:val="28"/>
          <w:szCs w:val="28"/>
        </w:rPr>
      </w:pPr>
      <w:r>
        <w:rPr>
          <w:rFonts w:eastAsia="Times New Roman"/>
          <w:bCs/>
          <w:sz w:val="28"/>
          <w:szCs w:val="28"/>
        </w:rPr>
        <w:t>Tel: (202) 887-0278</w:t>
      </w:r>
    </w:p>
    <w:p w:rsidR="00D14AB8" w:rsidP="003D408F" w14:paraId="6C0827C7" w14:textId="392B0794">
      <w:pPr>
        <w:spacing w:line="240" w:lineRule="auto"/>
        <w:ind w:left="5130"/>
        <w:jc w:val="both"/>
        <w:rPr>
          <w:rFonts w:eastAsia="Times New Roman"/>
          <w:bCs/>
          <w:sz w:val="28"/>
          <w:szCs w:val="28"/>
        </w:rPr>
      </w:pPr>
      <w:r>
        <w:rPr>
          <w:rFonts w:eastAsia="Times New Roman"/>
          <w:bCs/>
          <w:i/>
          <w:iCs/>
          <w:sz w:val="28"/>
          <w:szCs w:val="28"/>
        </w:rPr>
        <w:t>Counsel for National Foreign Trad</w:t>
      </w:r>
      <w:r w:rsidR="003D408F">
        <w:rPr>
          <w:rFonts w:eastAsia="Times New Roman"/>
          <w:bCs/>
          <w:i/>
          <w:iCs/>
          <w:sz w:val="28"/>
          <w:szCs w:val="28"/>
        </w:rPr>
        <w:t>e Council, Inc.</w:t>
      </w:r>
    </w:p>
    <w:p w:rsidR="00571591" w:rsidP="003D408F" w14:paraId="42CE795B" w14:textId="06126191">
      <w:pPr>
        <w:spacing w:line="240" w:lineRule="auto"/>
        <w:ind w:left="5130"/>
        <w:jc w:val="both"/>
        <w:rPr>
          <w:rFonts w:eastAsia="Times New Roman"/>
          <w:bCs/>
          <w:sz w:val="28"/>
          <w:szCs w:val="28"/>
        </w:rPr>
      </w:pPr>
    </w:p>
    <w:p w:rsidR="00565E25" w:rsidP="00565E25" w14:paraId="7062F1A2" w14:textId="77777777">
      <w:pPr>
        <w:spacing w:line="240" w:lineRule="auto"/>
        <w:jc w:val="both"/>
        <w:rPr>
          <w:sz w:val="28"/>
          <w:szCs w:val="28"/>
        </w:rPr>
      </w:pPr>
    </w:p>
    <w:p w:rsidR="00565E25" w:rsidP="003C0EC8" w14:paraId="16B88238" w14:textId="40E21FBE">
      <w:pPr>
        <w:pStyle w:val="Heading1"/>
      </w:pPr>
      <w:bookmarkStart w:id="29" w:name="_Toc158823205"/>
      <w:r>
        <w:t>CERTIFICATE OF COMPLIANCE</w:t>
      </w:r>
      <w:bookmarkEnd w:id="29"/>
    </w:p>
    <w:p w:rsidR="00565E25" w:rsidP="00565E25" w14:paraId="3DE89244" w14:textId="7B09AD67">
      <w:pPr>
        <w:jc w:val="both"/>
        <w:rPr>
          <w:sz w:val="28"/>
          <w:szCs w:val="28"/>
        </w:rPr>
      </w:pPr>
      <w:r>
        <w:rPr>
          <w:sz w:val="28"/>
          <w:szCs w:val="28"/>
        </w:rPr>
        <w:tab/>
        <w:t xml:space="preserve">I hereby certify that this brief contains 3,936 words in accordance with Federal Rule of Appellate Procedure </w:t>
      </w:r>
      <w:r w:rsidR="00406491">
        <w:rPr>
          <w:sz w:val="28"/>
          <w:szCs w:val="28"/>
        </w:rPr>
        <w:t>29(a)(5)</w:t>
      </w:r>
      <w:r>
        <w:rPr>
          <w:sz w:val="28"/>
          <w:szCs w:val="28"/>
        </w:rPr>
        <w:t xml:space="preserve">.  This brief complies with the typeface requirements of Federal Rule of Appellate Procedure </w:t>
      </w:r>
      <w:r w:rsidR="00406491">
        <w:rPr>
          <w:sz w:val="28"/>
          <w:szCs w:val="28"/>
        </w:rPr>
        <w:t>32(</w:t>
      </w:r>
      <w:r w:rsidR="00F077E9">
        <w:rPr>
          <w:sz w:val="28"/>
          <w:szCs w:val="28"/>
        </w:rPr>
        <w:t>a</w:t>
      </w:r>
      <w:r w:rsidR="00406491">
        <w:rPr>
          <w:sz w:val="28"/>
          <w:szCs w:val="28"/>
        </w:rPr>
        <w:t>)</w:t>
      </w:r>
      <w:r w:rsidR="00F077E9">
        <w:rPr>
          <w:sz w:val="28"/>
          <w:szCs w:val="28"/>
        </w:rPr>
        <w:t>(5)</w:t>
      </w:r>
      <w:r>
        <w:rPr>
          <w:sz w:val="28"/>
          <w:szCs w:val="28"/>
        </w:rPr>
        <w:t xml:space="preserve"> and the typestyle requirements of Federal Rule of Appellate Procedure </w:t>
      </w:r>
      <w:r w:rsidR="00F077E9">
        <w:rPr>
          <w:sz w:val="28"/>
          <w:szCs w:val="28"/>
        </w:rPr>
        <w:t>32(a)(6)</w:t>
      </w:r>
      <w:r>
        <w:rPr>
          <w:sz w:val="28"/>
          <w:szCs w:val="28"/>
        </w:rPr>
        <w:t xml:space="preserve"> because it has been prepared in a proportionally spaced typeface using Microsoft Word 2019 14-point Times New Roman font.</w:t>
      </w:r>
    </w:p>
    <w:p w:rsidR="00565E25" w:rsidP="00406491" w14:paraId="14D5D89C" w14:textId="4D842FCF">
      <w:pPr>
        <w:spacing w:line="240" w:lineRule="auto"/>
        <w:jc w:val="both"/>
        <w:rPr>
          <w:i/>
          <w:iCs/>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06491">
        <w:rPr>
          <w:i/>
          <w:iCs/>
          <w:sz w:val="28"/>
          <w:szCs w:val="28"/>
          <w:u w:val="single"/>
        </w:rPr>
        <w:t>/s/</w:t>
      </w:r>
      <w:r w:rsidR="004E60A2">
        <w:rPr>
          <w:i/>
          <w:iCs/>
          <w:sz w:val="28"/>
          <w:szCs w:val="28"/>
          <w:u w:val="single"/>
        </w:rPr>
        <w:t>Amit Agarwal</w:t>
      </w:r>
    </w:p>
    <w:p w:rsidR="00406491" w:rsidP="00406491" w14:paraId="41E79861" w14:textId="73BAD575">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Amit Agarwal</w:t>
      </w:r>
    </w:p>
    <w:p w:rsidR="00406491" w:rsidRPr="00406491" w:rsidP="00406491" w14:paraId="619BE80E" w14:textId="77777777">
      <w:pPr>
        <w:spacing w:line="240" w:lineRule="auto"/>
        <w:jc w:val="both"/>
        <w:rPr>
          <w:sz w:val="28"/>
          <w:szCs w:val="28"/>
        </w:rPr>
      </w:pPr>
    </w:p>
    <w:p w:rsidR="00565E25" w:rsidP="00565E25" w14:paraId="442815E8" w14:textId="77777777">
      <w:pPr>
        <w:pStyle w:val="Heading1"/>
      </w:pPr>
      <w:bookmarkStart w:id="30" w:name="_Toc158823206"/>
      <w:r>
        <w:t>CERTIFICATE OF SERVICE</w:t>
      </w:r>
      <w:bookmarkEnd w:id="30"/>
    </w:p>
    <w:p w:rsidR="00565E25" w:rsidP="00565E25" w14:paraId="50DD402B" w14:textId="77777777">
      <w:pPr>
        <w:jc w:val="both"/>
        <w:rPr>
          <w:sz w:val="28"/>
          <w:szCs w:val="28"/>
        </w:rPr>
      </w:pPr>
      <w:r>
        <w:rPr>
          <w:sz w:val="28"/>
          <w:szCs w:val="28"/>
        </w:rPr>
        <w:tab/>
        <w:t>I hereby certify that on February 14, 2024, an electronic copy of the foregoing brief was filed with the Clerk for the United States Court of Appeals for the Eighth Circuit using the CM/ECF system.</w:t>
      </w:r>
    </w:p>
    <w:p w:rsidR="00565E25" w:rsidP="00565E25" w14:paraId="52F3981F" w14:textId="681D34DE">
      <w:pPr>
        <w:spacing w:line="240" w:lineRule="auto"/>
        <w:jc w:val="both"/>
        <w:rPr>
          <w:i/>
          <w:iCs/>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u w:val="single"/>
        </w:rPr>
        <w:t>/s/</w:t>
      </w:r>
      <w:r w:rsidR="003C0EC8">
        <w:rPr>
          <w:i/>
          <w:iCs/>
          <w:sz w:val="28"/>
          <w:szCs w:val="28"/>
          <w:u w:val="single"/>
        </w:rPr>
        <w:t>Amit Agarwal</w:t>
      </w:r>
    </w:p>
    <w:p w:rsidR="00565E25" w:rsidP="00565E25" w14:paraId="661FC9AE" w14:textId="77777777">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Amit Agarwal</w:t>
      </w:r>
    </w:p>
    <w:p w:rsidR="00565E25" w:rsidRPr="00565E25" w:rsidP="00565E25" w14:paraId="0D02EC18" w14:textId="77777777">
      <w:pPr>
        <w:jc w:val="both"/>
        <w:rPr>
          <w:sz w:val="28"/>
          <w:szCs w:val="28"/>
        </w:rPr>
      </w:pPr>
    </w:p>
    <w:sectPr w:rsidSect="0027176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C65" w14:paraId="1D13B7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C65" w14:paraId="0B443D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C65" w14:paraId="4601703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9345302"/>
      <w:docPartObj>
        <w:docPartGallery w:val="Page Numbers (Bottom of Page)"/>
        <w:docPartUnique/>
      </w:docPartObj>
    </w:sdtPr>
    <w:sdtEndPr>
      <w:rPr>
        <w:noProof/>
        <w:sz w:val="28"/>
        <w:szCs w:val="28"/>
      </w:rPr>
    </w:sdtEndPr>
    <w:sdtContent>
      <w:p w:rsidR="00271767" w:rsidRPr="007B4B7B" w:rsidP="00271767" w14:paraId="1EB35CF5" w14:textId="77777777">
        <w:pPr>
          <w:pStyle w:val="Footer"/>
          <w:jc w:val="center"/>
          <w:rPr>
            <w:sz w:val="28"/>
            <w:szCs w:val="28"/>
          </w:rPr>
        </w:pPr>
        <w:r w:rsidRPr="007B4B7B">
          <w:rPr>
            <w:sz w:val="28"/>
            <w:szCs w:val="28"/>
          </w:rPr>
          <w:fldChar w:fldCharType="begin"/>
        </w:r>
        <w:r w:rsidRPr="007B4B7B">
          <w:rPr>
            <w:sz w:val="28"/>
            <w:szCs w:val="28"/>
          </w:rPr>
          <w:instrText xml:space="preserve"> PAGE   \* MERGEFORMAT </w:instrText>
        </w:r>
        <w:r w:rsidRPr="007B4B7B">
          <w:rPr>
            <w:sz w:val="28"/>
            <w:szCs w:val="28"/>
          </w:rPr>
          <w:fldChar w:fldCharType="separate"/>
        </w:r>
        <w:r w:rsidRPr="007B4B7B">
          <w:rPr>
            <w:noProof/>
            <w:sz w:val="28"/>
            <w:szCs w:val="28"/>
          </w:rPr>
          <w:t>2</w:t>
        </w:r>
        <w:r w:rsidRPr="007B4B7B">
          <w:rPr>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D439B" w:rsidP="00271767" w14:paraId="456562CD" w14:textId="77777777">
      <w:pPr>
        <w:spacing w:line="240" w:lineRule="auto"/>
      </w:pPr>
      <w:r>
        <w:separator/>
      </w:r>
    </w:p>
  </w:footnote>
  <w:footnote w:type="continuationSeparator" w:id="1">
    <w:p w:rsidR="00FD439B" w:rsidP="00271767" w14:paraId="62F4C89B" w14:textId="77777777">
      <w:pPr>
        <w:spacing w:line="240" w:lineRule="auto"/>
      </w:pPr>
      <w:r>
        <w:continuationSeparator/>
      </w:r>
    </w:p>
  </w:footnote>
  <w:footnote w:id="2">
    <w:p w:rsidR="00F714A7" w:rsidRPr="00F714A7" w:rsidP="00F714A7" w14:paraId="13B093FC" w14:textId="6C3CBF61">
      <w:pPr>
        <w:pStyle w:val="FootnoteText"/>
        <w:ind w:left="360" w:hanging="360"/>
        <w:jc w:val="both"/>
      </w:pPr>
      <w:r w:rsidRPr="00F714A7">
        <w:rPr>
          <w:rStyle w:val="FootnoteReference"/>
          <w:sz w:val="24"/>
          <w:szCs w:val="24"/>
        </w:rPr>
        <w:footnoteRef/>
      </w:r>
      <w:r w:rsidRPr="00F714A7">
        <w:rPr>
          <w:sz w:val="24"/>
          <w:szCs w:val="24"/>
        </w:rPr>
        <w:t xml:space="preserve"> </w:t>
      </w:r>
      <w:r>
        <w:rPr>
          <w:sz w:val="24"/>
          <w:szCs w:val="24"/>
        </w:rPr>
        <w:tab/>
      </w:r>
      <w:r w:rsidRPr="00F714A7">
        <w:rPr>
          <w:sz w:val="24"/>
          <w:szCs w:val="24"/>
        </w:rPr>
        <w:t xml:space="preserve">No counsel for a party authored this brief in whole or in part, and no person or entity, other than </w:t>
      </w:r>
      <w:r w:rsidRPr="00F714A7">
        <w:rPr>
          <w:i/>
          <w:iCs/>
          <w:sz w:val="24"/>
          <w:szCs w:val="24"/>
        </w:rPr>
        <w:t>amicus curiae</w:t>
      </w:r>
      <w:r w:rsidRPr="00F714A7">
        <w:rPr>
          <w:sz w:val="24"/>
          <w:szCs w:val="24"/>
        </w:rPr>
        <w:t>, its members, and its counsel, made a monetary contribution to the preparation or submission of this brief.</w:t>
      </w:r>
    </w:p>
  </w:footnote>
  <w:footnote w:id="3">
    <w:p w:rsidR="009747BB" w:rsidRPr="009747BB" w14:paraId="24342849" w14:textId="32881C4F">
      <w:pPr>
        <w:pStyle w:val="FootnoteText"/>
      </w:pPr>
      <w:r>
        <w:rPr>
          <w:rStyle w:val="FootnoteReference"/>
        </w:rPr>
        <w:footnoteRef/>
      </w:r>
      <w:r>
        <w:t xml:space="preserve"> </w:t>
      </w:r>
      <w:r>
        <w:rPr>
          <w:i/>
          <w:iCs/>
          <w:sz w:val="28"/>
          <w:szCs w:val="28"/>
        </w:rPr>
        <w:t>See also Coca-Cola Co</w:t>
      </w:r>
      <w:r w:rsidR="00553CFF">
        <w:rPr>
          <w:i/>
          <w:iCs/>
          <w:sz w:val="28"/>
          <w:szCs w:val="28"/>
        </w:rPr>
        <w:t>.</w:t>
      </w:r>
      <w:r>
        <w:rPr>
          <w:i/>
          <w:iCs/>
          <w:sz w:val="28"/>
          <w:szCs w:val="28"/>
        </w:rPr>
        <w:t xml:space="preserve"> </w:t>
      </w:r>
      <w:r w:rsidR="00553CFF">
        <w:rPr>
          <w:i/>
          <w:iCs/>
          <w:sz w:val="28"/>
          <w:szCs w:val="28"/>
        </w:rPr>
        <w:t xml:space="preserve">&amp; </w:t>
      </w:r>
      <w:r>
        <w:rPr>
          <w:i/>
          <w:iCs/>
          <w:sz w:val="28"/>
          <w:szCs w:val="28"/>
        </w:rPr>
        <w:t>Subsidiaries v. Commissioner</w:t>
      </w:r>
      <w:r>
        <w:rPr>
          <w:sz w:val="28"/>
          <w:szCs w:val="28"/>
        </w:rPr>
        <w:t>, T.C. Memo. 2023-135, 2023 WL 7410872 (Nov. 8,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C65" w14:paraId="7194A8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C65" w14:paraId="2BB372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C65" w14:paraId="38AF40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CB4B85"/>
    <w:multiLevelType w:val="hybridMultilevel"/>
    <w:tmpl w:val="0B16BBF2"/>
    <w:lvl w:ilvl="0">
      <w:start w:val="1"/>
      <w:numFmt w:val="upperLetter"/>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E0"/>
    <w:rsid w:val="00010D68"/>
    <w:rsid w:val="00023B90"/>
    <w:rsid w:val="00031505"/>
    <w:rsid w:val="00032174"/>
    <w:rsid w:val="000477AF"/>
    <w:rsid w:val="00053E27"/>
    <w:rsid w:val="00071011"/>
    <w:rsid w:val="000729F1"/>
    <w:rsid w:val="00077678"/>
    <w:rsid w:val="00090FFF"/>
    <w:rsid w:val="0009356F"/>
    <w:rsid w:val="00093CC3"/>
    <w:rsid w:val="00097688"/>
    <w:rsid w:val="000A4210"/>
    <w:rsid w:val="000C2054"/>
    <w:rsid w:val="000C27E5"/>
    <w:rsid w:val="000C4EDB"/>
    <w:rsid w:val="000D5897"/>
    <w:rsid w:val="000E0CD0"/>
    <w:rsid w:val="000E6DB1"/>
    <w:rsid w:val="000F7966"/>
    <w:rsid w:val="001038CB"/>
    <w:rsid w:val="00110498"/>
    <w:rsid w:val="00112A7A"/>
    <w:rsid w:val="00114175"/>
    <w:rsid w:val="001312AA"/>
    <w:rsid w:val="001447B8"/>
    <w:rsid w:val="00167E82"/>
    <w:rsid w:val="001702EF"/>
    <w:rsid w:val="00171237"/>
    <w:rsid w:val="001721CC"/>
    <w:rsid w:val="00181323"/>
    <w:rsid w:val="001879E7"/>
    <w:rsid w:val="001A2871"/>
    <w:rsid w:val="001A796B"/>
    <w:rsid w:val="001B5230"/>
    <w:rsid w:val="001B597C"/>
    <w:rsid w:val="001B5C27"/>
    <w:rsid w:val="001C12A8"/>
    <w:rsid w:val="001D0C5A"/>
    <w:rsid w:val="001D1ED8"/>
    <w:rsid w:val="001D24C5"/>
    <w:rsid w:val="001E5BB1"/>
    <w:rsid w:val="001F7142"/>
    <w:rsid w:val="0020513B"/>
    <w:rsid w:val="002052E9"/>
    <w:rsid w:val="00207BAD"/>
    <w:rsid w:val="002151DE"/>
    <w:rsid w:val="00215C2A"/>
    <w:rsid w:val="00225B62"/>
    <w:rsid w:val="00232717"/>
    <w:rsid w:val="002353B9"/>
    <w:rsid w:val="00271767"/>
    <w:rsid w:val="00283A18"/>
    <w:rsid w:val="002A494E"/>
    <w:rsid w:val="002A49F2"/>
    <w:rsid w:val="002F3CE3"/>
    <w:rsid w:val="002F594F"/>
    <w:rsid w:val="0030590C"/>
    <w:rsid w:val="00315443"/>
    <w:rsid w:val="003156E0"/>
    <w:rsid w:val="00317D07"/>
    <w:rsid w:val="00324A8D"/>
    <w:rsid w:val="00324CEB"/>
    <w:rsid w:val="00330A81"/>
    <w:rsid w:val="003331D0"/>
    <w:rsid w:val="00334839"/>
    <w:rsid w:val="0033484C"/>
    <w:rsid w:val="00336DF1"/>
    <w:rsid w:val="00352B67"/>
    <w:rsid w:val="003758C3"/>
    <w:rsid w:val="00375F0B"/>
    <w:rsid w:val="00381D64"/>
    <w:rsid w:val="003850E8"/>
    <w:rsid w:val="0039117D"/>
    <w:rsid w:val="00391AA9"/>
    <w:rsid w:val="00391DDF"/>
    <w:rsid w:val="00393D80"/>
    <w:rsid w:val="00394100"/>
    <w:rsid w:val="003942E1"/>
    <w:rsid w:val="003A0451"/>
    <w:rsid w:val="003A3C0F"/>
    <w:rsid w:val="003B0BCE"/>
    <w:rsid w:val="003C0EC8"/>
    <w:rsid w:val="003D2193"/>
    <w:rsid w:val="003D408F"/>
    <w:rsid w:val="00406491"/>
    <w:rsid w:val="00407F89"/>
    <w:rsid w:val="00416457"/>
    <w:rsid w:val="004175F1"/>
    <w:rsid w:val="00423074"/>
    <w:rsid w:val="00451CC0"/>
    <w:rsid w:val="00465E6C"/>
    <w:rsid w:val="00482920"/>
    <w:rsid w:val="00487E1B"/>
    <w:rsid w:val="004A0824"/>
    <w:rsid w:val="004A20A8"/>
    <w:rsid w:val="004B794D"/>
    <w:rsid w:val="004C55B3"/>
    <w:rsid w:val="004D09DF"/>
    <w:rsid w:val="004D64FA"/>
    <w:rsid w:val="004E3E80"/>
    <w:rsid w:val="004E60A2"/>
    <w:rsid w:val="004F513F"/>
    <w:rsid w:val="004F64E2"/>
    <w:rsid w:val="004F66A0"/>
    <w:rsid w:val="00510ACA"/>
    <w:rsid w:val="00515F98"/>
    <w:rsid w:val="0052088E"/>
    <w:rsid w:val="00546E7C"/>
    <w:rsid w:val="00547589"/>
    <w:rsid w:val="005478A1"/>
    <w:rsid w:val="00553CFF"/>
    <w:rsid w:val="00554D11"/>
    <w:rsid w:val="0055533B"/>
    <w:rsid w:val="0055629F"/>
    <w:rsid w:val="005623ED"/>
    <w:rsid w:val="00565E25"/>
    <w:rsid w:val="00571591"/>
    <w:rsid w:val="005815D6"/>
    <w:rsid w:val="00582A75"/>
    <w:rsid w:val="005850A3"/>
    <w:rsid w:val="0059293F"/>
    <w:rsid w:val="00592EE6"/>
    <w:rsid w:val="005A05C5"/>
    <w:rsid w:val="005B127A"/>
    <w:rsid w:val="005B1D3F"/>
    <w:rsid w:val="005D2165"/>
    <w:rsid w:val="005D54D0"/>
    <w:rsid w:val="005F6200"/>
    <w:rsid w:val="00600E10"/>
    <w:rsid w:val="00605CE4"/>
    <w:rsid w:val="0060689F"/>
    <w:rsid w:val="006160A8"/>
    <w:rsid w:val="00621CA2"/>
    <w:rsid w:val="00622336"/>
    <w:rsid w:val="006300B8"/>
    <w:rsid w:val="006413E9"/>
    <w:rsid w:val="00644947"/>
    <w:rsid w:val="00654933"/>
    <w:rsid w:val="00656C52"/>
    <w:rsid w:val="00657192"/>
    <w:rsid w:val="00677C89"/>
    <w:rsid w:val="00680AEC"/>
    <w:rsid w:val="0069785A"/>
    <w:rsid w:val="006A430F"/>
    <w:rsid w:val="006A44D9"/>
    <w:rsid w:val="006A4E2F"/>
    <w:rsid w:val="006C31C3"/>
    <w:rsid w:val="006C3C4D"/>
    <w:rsid w:val="006C6FE8"/>
    <w:rsid w:val="006E0C41"/>
    <w:rsid w:val="006E3CE0"/>
    <w:rsid w:val="00713409"/>
    <w:rsid w:val="0071354A"/>
    <w:rsid w:val="007273BE"/>
    <w:rsid w:val="00741FBD"/>
    <w:rsid w:val="0074308D"/>
    <w:rsid w:val="007565DB"/>
    <w:rsid w:val="00762D90"/>
    <w:rsid w:val="00797298"/>
    <w:rsid w:val="007B2ADA"/>
    <w:rsid w:val="007B4B7B"/>
    <w:rsid w:val="007C25DE"/>
    <w:rsid w:val="007C3DBE"/>
    <w:rsid w:val="007E72A4"/>
    <w:rsid w:val="00805D5D"/>
    <w:rsid w:val="0081526D"/>
    <w:rsid w:val="008209A8"/>
    <w:rsid w:val="008218E2"/>
    <w:rsid w:val="0083240F"/>
    <w:rsid w:val="00835C44"/>
    <w:rsid w:val="00837BE8"/>
    <w:rsid w:val="00863030"/>
    <w:rsid w:val="00892EF5"/>
    <w:rsid w:val="00894807"/>
    <w:rsid w:val="008A1215"/>
    <w:rsid w:val="008A3C67"/>
    <w:rsid w:val="008B605D"/>
    <w:rsid w:val="008C76F0"/>
    <w:rsid w:val="008E2C2E"/>
    <w:rsid w:val="008E369D"/>
    <w:rsid w:val="008E7398"/>
    <w:rsid w:val="008E7C4F"/>
    <w:rsid w:val="008F0744"/>
    <w:rsid w:val="008F12AD"/>
    <w:rsid w:val="008F35C6"/>
    <w:rsid w:val="008F6EBE"/>
    <w:rsid w:val="00901155"/>
    <w:rsid w:val="00906072"/>
    <w:rsid w:val="00915750"/>
    <w:rsid w:val="00923C5D"/>
    <w:rsid w:val="00960D18"/>
    <w:rsid w:val="00965148"/>
    <w:rsid w:val="00965A70"/>
    <w:rsid w:val="009742E1"/>
    <w:rsid w:val="009747BB"/>
    <w:rsid w:val="00983006"/>
    <w:rsid w:val="009919D7"/>
    <w:rsid w:val="009A5DEF"/>
    <w:rsid w:val="009A63BB"/>
    <w:rsid w:val="009B7E7A"/>
    <w:rsid w:val="009C3A4E"/>
    <w:rsid w:val="009C4771"/>
    <w:rsid w:val="009D239F"/>
    <w:rsid w:val="009D7EB2"/>
    <w:rsid w:val="009E2FCD"/>
    <w:rsid w:val="009E5BCE"/>
    <w:rsid w:val="00A02D13"/>
    <w:rsid w:val="00A05B96"/>
    <w:rsid w:val="00A0707D"/>
    <w:rsid w:val="00A214B2"/>
    <w:rsid w:val="00A240AE"/>
    <w:rsid w:val="00A33F59"/>
    <w:rsid w:val="00A5057D"/>
    <w:rsid w:val="00A75D82"/>
    <w:rsid w:val="00A90095"/>
    <w:rsid w:val="00A951CB"/>
    <w:rsid w:val="00A975E1"/>
    <w:rsid w:val="00AA0BB5"/>
    <w:rsid w:val="00AB3CCA"/>
    <w:rsid w:val="00AD2424"/>
    <w:rsid w:val="00AD3776"/>
    <w:rsid w:val="00AE34D3"/>
    <w:rsid w:val="00AE7E1D"/>
    <w:rsid w:val="00AF5291"/>
    <w:rsid w:val="00B03C54"/>
    <w:rsid w:val="00B05F31"/>
    <w:rsid w:val="00B14139"/>
    <w:rsid w:val="00B20E90"/>
    <w:rsid w:val="00B25DEE"/>
    <w:rsid w:val="00B32A84"/>
    <w:rsid w:val="00B3540D"/>
    <w:rsid w:val="00B4014E"/>
    <w:rsid w:val="00B5168E"/>
    <w:rsid w:val="00B61C65"/>
    <w:rsid w:val="00B63319"/>
    <w:rsid w:val="00B720D7"/>
    <w:rsid w:val="00B73126"/>
    <w:rsid w:val="00B775C3"/>
    <w:rsid w:val="00B8020C"/>
    <w:rsid w:val="00B87801"/>
    <w:rsid w:val="00BA7634"/>
    <w:rsid w:val="00BD52AA"/>
    <w:rsid w:val="00BE12C2"/>
    <w:rsid w:val="00BE4D86"/>
    <w:rsid w:val="00BE55DA"/>
    <w:rsid w:val="00BF5E7D"/>
    <w:rsid w:val="00C0632F"/>
    <w:rsid w:val="00C20DC4"/>
    <w:rsid w:val="00C22AF7"/>
    <w:rsid w:val="00C23BFA"/>
    <w:rsid w:val="00C31076"/>
    <w:rsid w:val="00C354DE"/>
    <w:rsid w:val="00C40CA5"/>
    <w:rsid w:val="00C4387C"/>
    <w:rsid w:val="00C519FD"/>
    <w:rsid w:val="00C701F0"/>
    <w:rsid w:val="00C83CEE"/>
    <w:rsid w:val="00C97964"/>
    <w:rsid w:val="00CA2AC9"/>
    <w:rsid w:val="00CA728C"/>
    <w:rsid w:val="00CA7B01"/>
    <w:rsid w:val="00CB1386"/>
    <w:rsid w:val="00CB28F8"/>
    <w:rsid w:val="00CB724A"/>
    <w:rsid w:val="00CC1A86"/>
    <w:rsid w:val="00CC1DE0"/>
    <w:rsid w:val="00CD14CC"/>
    <w:rsid w:val="00CE02AE"/>
    <w:rsid w:val="00CE57CE"/>
    <w:rsid w:val="00D03D70"/>
    <w:rsid w:val="00D10F7F"/>
    <w:rsid w:val="00D14AB8"/>
    <w:rsid w:val="00D25B77"/>
    <w:rsid w:val="00D32C94"/>
    <w:rsid w:val="00D5282F"/>
    <w:rsid w:val="00D561A6"/>
    <w:rsid w:val="00D62652"/>
    <w:rsid w:val="00D7340E"/>
    <w:rsid w:val="00D831DA"/>
    <w:rsid w:val="00D85EA6"/>
    <w:rsid w:val="00D85EF4"/>
    <w:rsid w:val="00D86547"/>
    <w:rsid w:val="00D87627"/>
    <w:rsid w:val="00D9188A"/>
    <w:rsid w:val="00D92101"/>
    <w:rsid w:val="00DA7105"/>
    <w:rsid w:val="00DB5DC4"/>
    <w:rsid w:val="00DC1F24"/>
    <w:rsid w:val="00DC6474"/>
    <w:rsid w:val="00DD400A"/>
    <w:rsid w:val="00DD6A50"/>
    <w:rsid w:val="00DF7896"/>
    <w:rsid w:val="00E02699"/>
    <w:rsid w:val="00E05234"/>
    <w:rsid w:val="00E11B2B"/>
    <w:rsid w:val="00E15239"/>
    <w:rsid w:val="00E36A23"/>
    <w:rsid w:val="00E52E73"/>
    <w:rsid w:val="00E62676"/>
    <w:rsid w:val="00E73968"/>
    <w:rsid w:val="00E926DF"/>
    <w:rsid w:val="00E95F3C"/>
    <w:rsid w:val="00EA6D87"/>
    <w:rsid w:val="00EB0465"/>
    <w:rsid w:val="00ED27FE"/>
    <w:rsid w:val="00ED2E64"/>
    <w:rsid w:val="00ED4499"/>
    <w:rsid w:val="00ED5DED"/>
    <w:rsid w:val="00ED6C1E"/>
    <w:rsid w:val="00EE6957"/>
    <w:rsid w:val="00EE7922"/>
    <w:rsid w:val="00EE7967"/>
    <w:rsid w:val="00EF6349"/>
    <w:rsid w:val="00F077E9"/>
    <w:rsid w:val="00F1482E"/>
    <w:rsid w:val="00F273CC"/>
    <w:rsid w:val="00F32858"/>
    <w:rsid w:val="00F3715C"/>
    <w:rsid w:val="00F434FE"/>
    <w:rsid w:val="00F43854"/>
    <w:rsid w:val="00F61063"/>
    <w:rsid w:val="00F61725"/>
    <w:rsid w:val="00F669F2"/>
    <w:rsid w:val="00F7012C"/>
    <w:rsid w:val="00F714A7"/>
    <w:rsid w:val="00F71AF0"/>
    <w:rsid w:val="00F77BB8"/>
    <w:rsid w:val="00F80460"/>
    <w:rsid w:val="00F96E3E"/>
    <w:rsid w:val="00F970B5"/>
    <w:rsid w:val="00FA4129"/>
    <w:rsid w:val="00FB5FF2"/>
    <w:rsid w:val="00FC0734"/>
    <w:rsid w:val="00FC47EB"/>
    <w:rsid w:val="00FD11F3"/>
    <w:rsid w:val="00FD439B"/>
    <w:rsid w:val="00FE51DE"/>
    <w:rsid w:val="00FF58CE"/>
    <w:rsid w:val="00FF7391"/>
    <w:rsid w:val="00FF75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F1E0AED"/>
  <w15:chartTrackingRefBased/>
  <w15:docId w15:val="{6632C7C9-17BB-446D-B779-037B812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EF5"/>
    <w:pPr>
      <w:spacing w:after="0" w:line="480" w:lineRule="auto"/>
      <w:outlineLvl w:val="0"/>
    </w:pPr>
    <w:rPr>
      <w:rFonts w:ascii="Times New Roman" w:hAnsi="Times New Roman" w:cs="Times New Roman"/>
      <w:sz w:val="24"/>
      <w:szCs w:val="24"/>
    </w:rPr>
  </w:style>
  <w:style w:type="paragraph" w:styleId="Heading1">
    <w:name w:val="heading 1"/>
    <w:basedOn w:val="Normal"/>
    <w:next w:val="Normal"/>
    <w:link w:val="Heading1Char"/>
    <w:uiPriority w:val="9"/>
    <w:qFormat/>
    <w:rsid w:val="00EF6349"/>
    <w:pPr>
      <w:jc w:val="center"/>
      <w:outlineLvl w:val="0"/>
    </w:pPr>
    <w:rPr>
      <w:b/>
      <w:bCs/>
      <w:sz w:val="28"/>
      <w:szCs w:val="28"/>
      <w:u w:val="single"/>
    </w:rPr>
  </w:style>
  <w:style w:type="paragraph" w:styleId="Heading2">
    <w:name w:val="heading 2"/>
    <w:basedOn w:val="Normal"/>
    <w:next w:val="Normal"/>
    <w:link w:val="Heading2Char"/>
    <w:uiPriority w:val="9"/>
    <w:unhideWhenUsed/>
    <w:qFormat/>
    <w:rsid w:val="003156E0"/>
    <w:pPr>
      <w:outlineLvl w:val="1"/>
    </w:pPr>
    <w:rPr>
      <w:b/>
      <w:bCs/>
      <w:sz w:val="28"/>
      <w:szCs w:val="28"/>
    </w:rPr>
  </w:style>
  <w:style w:type="paragraph" w:styleId="Heading3">
    <w:name w:val="heading 3"/>
    <w:basedOn w:val="ListParagraph"/>
    <w:next w:val="Normal"/>
    <w:link w:val="Heading3Char"/>
    <w:uiPriority w:val="9"/>
    <w:unhideWhenUsed/>
    <w:qFormat/>
    <w:rsid w:val="005D2165"/>
    <w:pPr>
      <w:numPr>
        <w:numId w:val="1"/>
      </w:numPr>
      <w:ind w:left="1440" w:hanging="720"/>
      <w:jc w:val="both"/>
      <w:outlineLvl w:val="2"/>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49"/>
    <w:rPr>
      <w:rFonts w:ascii="Times New Roman" w:hAnsi="Times New Roman" w:cs="Times New Roman"/>
      <w:b/>
      <w:bCs/>
      <w:sz w:val="28"/>
      <w:szCs w:val="28"/>
      <w:u w:val="single"/>
    </w:rPr>
  </w:style>
  <w:style w:type="character" w:customStyle="1" w:styleId="Heading2Char">
    <w:name w:val="Heading 2 Char"/>
    <w:basedOn w:val="DefaultParagraphFont"/>
    <w:link w:val="Heading2"/>
    <w:uiPriority w:val="9"/>
    <w:rsid w:val="003156E0"/>
    <w:rPr>
      <w:rFonts w:ascii="Times New Roman" w:hAnsi="Times New Roman" w:cs="Times New Roman"/>
      <w:b/>
      <w:bCs/>
      <w:sz w:val="28"/>
      <w:szCs w:val="28"/>
    </w:rPr>
  </w:style>
  <w:style w:type="paragraph" w:styleId="ListParagraph">
    <w:name w:val="List Paragraph"/>
    <w:basedOn w:val="Normal"/>
    <w:uiPriority w:val="34"/>
    <w:qFormat/>
    <w:rsid w:val="005D54D0"/>
    <w:pPr>
      <w:ind w:left="720"/>
      <w:contextualSpacing/>
    </w:pPr>
  </w:style>
  <w:style w:type="character" w:customStyle="1" w:styleId="Heading3Char">
    <w:name w:val="Heading 3 Char"/>
    <w:basedOn w:val="DefaultParagraphFont"/>
    <w:link w:val="Heading3"/>
    <w:uiPriority w:val="9"/>
    <w:rsid w:val="005D2165"/>
    <w:rPr>
      <w:rFonts w:ascii="Times New Roman" w:hAnsi="Times New Roman" w:cs="Times New Roman"/>
      <w:sz w:val="28"/>
      <w:szCs w:val="28"/>
      <w:u w:val="single"/>
    </w:rPr>
  </w:style>
  <w:style w:type="paragraph" w:styleId="Header">
    <w:name w:val="header"/>
    <w:basedOn w:val="Normal"/>
    <w:link w:val="HeaderChar"/>
    <w:uiPriority w:val="99"/>
    <w:unhideWhenUsed/>
    <w:rsid w:val="00271767"/>
    <w:pPr>
      <w:tabs>
        <w:tab w:val="center" w:pos="4680"/>
        <w:tab w:val="right" w:pos="9360"/>
      </w:tabs>
      <w:spacing w:line="240" w:lineRule="auto"/>
    </w:pPr>
  </w:style>
  <w:style w:type="character" w:customStyle="1" w:styleId="HeaderChar">
    <w:name w:val="Header Char"/>
    <w:basedOn w:val="DefaultParagraphFont"/>
    <w:link w:val="Header"/>
    <w:uiPriority w:val="99"/>
    <w:rsid w:val="00271767"/>
    <w:rPr>
      <w:rFonts w:ascii="Times New Roman" w:hAnsi="Times New Roman" w:cs="Times New Roman"/>
      <w:sz w:val="24"/>
      <w:szCs w:val="24"/>
    </w:rPr>
  </w:style>
  <w:style w:type="paragraph" w:styleId="Footer">
    <w:name w:val="footer"/>
    <w:basedOn w:val="Normal"/>
    <w:link w:val="FooterChar"/>
    <w:uiPriority w:val="99"/>
    <w:unhideWhenUsed/>
    <w:rsid w:val="00271767"/>
    <w:pPr>
      <w:tabs>
        <w:tab w:val="center" w:pos="4680"/>
        <w:tab w:val="right" w:pos="9360"/>
      </w:tabs>
      <w:spacing w:line="240" w:lineRule="auto"/>
    </w:pPr>
  </w:style>
  <w:style w:type="character" w:customStyle="1" w:styleId="FooterChar">
    <w:name w:val="Footer Char"/>
    <w:basedOn w:val="DefaultParagraphFont"/>
    <w:link w:val="Footer"/>
    <w:uiPriority w:val="99"/>
    <w:rsid w:val="0027176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B5C27"/>
    <w:rPr>
      <w:sz w:val="16"/>
      <w:szCs w:val="16"/>
    </w:rPr>
  </w:style>
  <w:style w:type="paragraph" w:styleId="CommentText">
    <w:name w:val="annotation text"/>
    <w:basedOn w:val="Normal"/>
    <w:link w:val="CommentTextChar"/>
    <w:uiPriority w:val="99"/>
    <w:unhideWhenUsed/>
    <w:rsid w:val="001B5C27"/>
    <w:pPr>
      <w:spacing w:line="240" w:lineRule="auto"/>
    </w:pPr>
    <w:rPr>
      <w:sz w:val="20"/>
      <w:szCs w:val="20"/>
    </w:rPr>
  </w:style>
  <w:style w:type="character" w:customStyle="1" w:styleId="CommentTextChar">
    <w:name w:val="Comment Text Char"/>
    <w:basedOn w:val="DefaultParagraphFont"/>
    <w:link w:val="CommentText"/>
    <w:uiPriority w:val="99"/>
    <w:rsid w:val="001B5C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C27"/>
    <w:rPr>
      <w:b/>
      <w:bCs/>
    </w:rPr>
  </w:style>
  <w:style w:type="character" w:customStyle="1" w:styleId="CommentSubjectChar">
    <w:name w:val="Comment Subject Char"/>
    <w:basedOn w:val="CommentTextChar"/>
    <w:link w:val="CommentSubject"/>
    <w:uiPriority w:val="99"/>
    <w:semiHidden/>
    <w:rsid w:val="001B5C27"/>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714A7"/>
    <w:pPr>
      <w:spacing w:line="240" w:lineRule="auto"/>
    </w:pPr>
    <w:rPr>
      <w:sz w:val="20"/>
      <w:szCs w:val="20"/>
    </w:rPr>
  </w:style>
  <w:style w:type="character" w:customStyle="1" w:styleId="FootnoteTextChar">
    <w:name w:val="Footnote Text Char"/>
    <w:basedOn w:val="DefaultParagraphFont"/>
    <w:link w:val="FootnoteText"/>
    <w:uiPriority w:val="99"/>
    <w:semiHidden/>
    <w:rsid w:val="00F714A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714A7"/>
    <w:rPr>
      <w:vertAlign w:val="superscript"/>
    </w:rPr>
  </w:style>
  <w:style w:type="paragraph" w:styleId="Revision">
    <w:name w:val="Revision"/>
    <w:hidden/>
    <w:uiPriority w:val="99"/>
    <w:semiHidden/>
    <w:rsid w:val="00A90095"/>
    <w:pPr>
      <w:spacing w:after="0" w:line="240" w:lineRule="auto"/>
    </w:pPr>
    <w:rPr>
      <w:rFonts w:ascii="Times New Roman" w:hAnsi="Times New Roman" w:cs="Times New Roman"/>
      <w:sz w:val="24"/>
      <w:szCs w:val="24"/>
    </w:rPr>
  </w:style>
  <w:style w:type="table" w:styleId="TableGrid">
    <w:name w:val="Table Grid"/>
    <w:basedOn w:val="TableNormal"/>
    <w:uiPriority w:val="39"/>
    <w:rsid w:val="001E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0465"/>
    <w:rPr>
      <w:color w:val="0563C1" w:themeColor="hyperlink"/>
      <w:u w:val="single"/>
    </w:rPr>
  </w:style>
  <w:style w:type="character" w:customStyle="1" w:styleId="UnresolvedMention">
    <w:name w:val="Unresolved Mention"/>
    <w:basedOn w:val="DefaultParagraphFont"/>
    <w:uiPriority w:val="99"/>
    <w:semiHidden/>
    <w:unhideWhenUsed/>
    <w:rsid w:val="00EB0465"/>
    <w:rPr>
      <w:color w:val="605E5C"/>
      <w:shd w:val="clear" w:color="auto" w:fill="E1DFDD"/>
    </w:rPr>
  </w:style>
  <w:style w:type="paragraph" w:styleId="TOC1">
    <w:name w:val="toc 1"/>
    <w:basedOn w:val="Normal"/>
    <w:next w:val="Normal"/>
    <w:autoRedefine/>
    <w:uiPriority w:val="39"/>
    <w:unhideWhenUsed/>
    <w:rsid w:val="00AB3CCA"/>
    <w:pPr>
      <w:spacing w:after="100"/>
    </w:pPr>
    <w:rPr>
      <w:sz w:val="28"/>
    </w:rPr>
  </w:style>
  <w:style w:type="paragraph" w:styleId="TOC2">
    <w:name w:val="toc 2"/>
    <w:basedOn w:val="Normal"/>
    <w:next w:val="Normal"/>
    <w:autoRedefine/>
    <w:uiPriority w:val="39"/>
    <w:unhideWhenUsed/>
    <w:rsid w:val="00AB3CCA"/>
    <w:pPr>
      <w:spacing w:after="100"/>
      <w:ind w:left="240"/>
    </w:pPr>
    <w:rPr>
      <w:sz w:val="28"/>
    </w:rPr>
  </w:style>
  <w:style w:type="paragraph" w:styleId="TOC3">
    <w:name w:val="toc 3"/>
    <w:basedOn w:val="Normal"/>
    <w:next w:val="Normal"/>
    <w:autoRedefine/>
    <w:uiPriority w:val="39"/>
    <w:unhideWhenUsed/>
    <w:rsid w:val="00AB3CCA"/>
    <w:pPr>
      <w:tabs>
        <w:tab w:val="left" w:pos="1100"/>
        <w:tab w:val="right" w:leader="dot" w:pos="9350"/>
      </w:tabs>
      <w:spacing w:after="240" w:line="240" w:lineRule="auto"/>
      <w:ind w:left="4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 A c t i v e ! 2 4 1 8 2 0 5 8 2 . 3 < / d o c u m e n t i d >  
     < s e n d e r i d > A V H O L L O M A N < / s e n d e r i d >  
     < s e n d e r e m a i l > A V E R Y . H O L L O M A N @ H K L A W . C O M < / s e n d e r e m a i l >  
     < l a s t m o d i f i e d > 2 0 2 4 - 0 2 - 1 4 T 1 7 : 1 9 : 0 0 . 0 0 0 0 0 0 0 - 0 5 : 0 0 < / l a s t m o d i f i e d >  
     < d a t a b a s e > A c t i v e < / d a t a b a s e >  
 < / p r o p e r t i e s > 
</file>

<file path=customXml/itemProps1.xml><?xml version="1.0" encoding="utf-8"?>
<ds:datastoreItem xmlns:ds="http://schemas.openxmlformats.org/officeDocument/2006/customXml" ds:itemID="{47C3BBBD-70A8-4D69-BB5F-FE202FACBBC5}">
  <ds:schemaRefs>
    <ds:schemaRef ds:uri="http://schemas.openxmlformats.org/officeDocument/2006/bibliography"/>
  </ds:schemaRefs>
</ds:datastoreItem>
</file>

<file path=customXml/itemProps2.xml><?xml version="1.0" encoding="utf-8"?>
<ds:datastoreItem xmlns:ds="http://schemas.openxmlformats.org/officeDocument/2006/customXml" ds:itemID="{14249F2A-9489-4274-8D8D-F3CF71E47F9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2024-02-15T17:06:59Z</dcterms:created>
  <dcterms:modified xsi:type="dcterms:W3CDTF">2024-02-15T17:06:59Z</dcterms:modified>
</cp:coreProperties>
</file>